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89"/>
        <w:gridCol w:w="536"/>
        <w:gridCol w:w="2496"/>
        <w:gridCol w:w="283"/>
      </w:tblGrid>
      <w:tr w:rsidR="00653194" w:rsidRPr="00525AF8" w:rsidTr="00653194">
        <w:trPr>
          <w:trHeight w:val="1409"/>
        </w:trPr>
        <w:tc>
          <w:tcPr>
            <w:tcW w:w="4821" w:type="dxa"/>
            <w:gridSpan w:val="3"/>
          </w:tcPr>
          <w:p w:rsidR="00653194" w:rsidRPr="00C81DFD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81DFD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Автономная некоммерческая</w:t>
            </w:r>
          </w:p>
          <w:p w:rsidR="00653194" w:rsidRPr="00C81DFD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81DFD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организация</w:t>
            </w:r>
          </w:p>
          <w:p w:rsidR="00653194" w:rsidRPr="00C81DFD" w:rsidRDefault="00653194" w:rsidP="0035273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81DFD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«Центр стратегических исследований </w:t>
            </w:r>
          </w:p>
          <w:p w:rsidR="00653194" w:rsidRPr="00C81DFD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C81DFD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Ульяновской области»</w:t>
            </w:r>
          </w:p>
          <w:p w:rsidR="00653194" w:rsidRPr="00525AF8" w:rsidRDefault="00653194" w:rsidP="00653194">
            <w:pPr>
              <w:spacing w:after="0" w:line="240" w:lineRule="auto"/>
              <w:ind w:left="567"/>
              <w:jc w:val="center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</w:p>
          <w:p w:rsidR="00653194" w:rsidRPr="00C81DFD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>ул. Радищева,116</w:t>
            </w:r>
            <w:proofErr w:type="gramStart"/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А</w:t>
            </w:r>
            <w:proofErr w:type="gramEnd"/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>, г. Ульяновск, 432071</w:t>
            </w:r>
          </w:p>
          <w:p w:rsidR="00653194" w:rsidRPr="00C81DFD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fr-FR"/>
              </w:rPr>
            </w:pPr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>тел</w:t>
            </w:r>
            <w:r w:rsidRPr="00C81DFD">
              <w:rPr>
                <w:rFonts w:ascii="PT Astra Serif" w:eastAsia="Calibri" w:hAnsi="PT Astra Serif" w:cs="Times New Roman"/>
                <w:sz w:val="20"/>
                <w:szCs w:val="20"/>
                <w:lang w:val="fr-FR"/>
              </w:rPr>
              <w:t xml:space="preserve">.: (8422) 24-06-06 </w:t>
            </w:r>
          </w:p>
          <w:p w:rsidR="00653194" w:rsidRPr="00C81DFD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val="fr-FR"/>
              </w:rPr>
            </w:pPr>
            <w:r w:rsidRPr="00C81DFD">
              <w:rPr>
                <w:rFonts w:ascii="PT Astra Serif" w:eastAsia="Calibri" w:hAnsi="PT Astra Serif" w:cs="Times New Roman"/>
                <w:sz w:val="20"/>
                <w:szCs w:val="20"/>
                <w:lang w:val="fr-FR"/>
              </w:rPr>
              <w:t>E-mail: muneconom@mail.ru</w:t>
            </w:r>
          </w:p>
          <w:p w:rsidR="00653194" w:rsidRPr="00C81DFD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ОКПО 25256634, </w:t>
            </w:r>
            <w:proofErr w:type="spellStart"/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>ОГРН</w:t>
            </w:r>
            <w:proofErr w:type="spellEnd"/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1157300000736</w:t>
            </w:r>
          </w:p>
          <w:p w:rsidR="00653194" w:rsidRPr="00525AF8" w:rsidRDefault="00653194" w:rsidP="006531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>ИНН/</w:t>
            </w:r>
            <w:proofErr w:type="spellStart"/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>КПП</w:t>
            </w:r>
            <w:proofErr w:type="spellEnd"/>
            <w:r w:rsidRPr="00C81DF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7325139336/732501001</w:t>
            </w:r>
          </w:p>
        </w:tc>
        <w:tc>
          <w:tcPr>
            <w:tcW w:w="283" w:type="dxa"/>
          </w:tcPr>
          <w:p w:rsidR="00653194" w:rsidRPr="00525AF8" w:rsidRDefault="00653194" w:rsidP="00653194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</w:p>
        </w:tc>
      </w:tr>
      <w:tr w:rsidR="00653194" w:rsidRPr="00525AF8" w:rsidTr="00653194">
        <w:trPr>
          <w:gridAfter w:val="1"/>
          <w:wAfter w:w="283" w:type="dxa"/>
          <w:trHeight w:val="303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94" w:rsidRPr="00525AF8" w:rsidRDefault="00653194" w:rsidP="00653194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hideMark/>
          </w:tcPr>
          <w:p w:rsidR="00653194" w:rsidRPr="00525AF8" w:rsidRDefault="00653194" w:rsidP="00653194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25A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94" w:rsidRPr="00525AF8" w:rsidRDefault="00653194" w:rsidP="00653194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53194" w:rsidRPr="00352730" w:rsidTr="00653194">
        <w:trPr>
          <w:gridAfter w:val="1"/>
          <w:wAfter w:w="283" w:type="dxa"/>
          <w:trHeight w:val="337"/>
        </w:trPr>
        <w:tc>
          <w:tcPr>
            <w:tcW w:w="4821" w:type="dxa"/>
            <w:gridSpan w:val="3"/>
            <w:hideMark/>
          </w:tcPr>
          <w:p w:rsidR="00653194" w:rsidRPr="006D36D0" w:rsidRDefault="00653194" w:rsidP="006D36D0">
            <w:pPr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653194" w:rsidRPr="00482DD3" w:rsidRDefault="002F049E" w:rsidP="00653194">
      <w:pPr>
        <w:spacing w:before="240" w:after="100" w:afterAutospacing="1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Главам администраций</w:t>
      </w:r>
      <w:r w:rsidR="00653194" w:rsidRPr="00482DD3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b/>
          <w:sz w:val="28"/>
          <w:szCs w:val="28"/>
        </w:rPr>
        <w:t>муниципальных образований</w:t>
      </w:r>
    </w:p>
    <w:p w:rsidR="00653194" w:rsidRPr="00482DD3" w:rsidRDefault="00653194" w:rsidP="00653194">
      <w:pPr>
        <w:spacing w:before="240" w:after="100" w:afterAutospacing="1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2DD3">
        <w:rPr>
          <w:rFonts w:ascii="PT Astra Serif" w:eastAsia="Calibri" w:hAnsi="PT Astra Serif" w:cs="Times New Roman"/>
          <w:b/>
          <w:sz w:val="28"/>
          <w:szCs w:val="28"/>
        </w:rPr>
        <w:t>Ульяновской области</w:t>
      </w:r>
    </w:p>
    <w:p w:rsidR="00653194" w:rsidRPr="00482DD3" w:rsidRDefault="002F049E" w:rsidP="00653194">
      <w:pPr>
        <w:spacing w:before="240" w:after="100" w:afterAutospacing="1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(по списку)</w:t>
      </w:r>
    </w:p>
    <w:p w:rsidR="00653194" w:rsidRPr="00482DD3" w:rsidRDefault="00653194" w:rsidP="00653194">
      <w:pPr>
        <w:spacing w:before="240" w:after="100" w:afterAutospacing="1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53194" w:rsidRPr="00352730" w:rsidRDefault="00653194" w:rsidP="00653194">
      <w:pPr>
        <w:spacing w:before="240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194" w:rsidRPr="00352730" w:rsidRDefault="00653194" w:rsidP="0065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94" w:rsidRPr="00352730" w:rsidRDefault="00653194" w:rsidP="0065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94" w:rsidRPr="00352730" w:rsidRDefault="00653194" w:rsidP="0065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94" w:rsidRPr="00352730" w:rsidRDefault="00653194" w:rsidP="0065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94" w:rsidRPr="00352730" w:rsidRDefault="00653194" w:rsidP="0065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B03" w:rsidRDefault="00806A44" w:rsidP="00205B0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36D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б</w:t>
      </w:r>
      <w:r w:rsidR="00A9240E" w:rsidRPr="002F049E">
        <w:rPr>
          <w:rFonts w:ascii="PT Astra Serif" w:hAnsi="PT Astra Serif"/>
          <w:sz w:val="28"/>
          <w:szCs w:val="28"/>
        </w:rPr>
        <w:t xml:space="preserve"> </w:t>
      </w:r>
      <w:r w:rsidR="00697639">
        <w:rPr>
          <w:rFonts w:ascii="PT Astra Serif" w:hAnsi="PT Astra Serif"/>
          <w:sz w:val="28"/>
          <w:szCs w:val="28"/>
        </w:rPr>
        <w:t>итогах</w:t>
      </w:r>
      <w:r w:rsidR="002F049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97639">
        <w:rPr>
          <w:rFonts w:ascii="PT Astra Serif" w:hAnsi="PT Astra Serif"/>
          <w:sz w:val="28"/>
          <w:szCs w:val="28"/>
        </w:rPr>
        <w:t>социально-экономического</w:t>
      </w:r>
      <w:proofErr w:type="gramEnd"/>
    </w:p>
    <w:p w:rsidR="00697639" w:rsidRDefault="00697639" w:rsidP="00806A44">
      <w:pPr>
        <w:spacing w:after="0" w:line="240" w:lineRule="auto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развития муниципальных образований </w:t>
      </w:r>
    </w:p>
    <w:p w:rsidR="00806A44" w:rsidRDefault="00697639" w:rsidP="00806A44">
      <w:pPr>
        <w:spacing w:after="0" w:line="240" w:lineRule="auto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Ульяновской области за 2021 год</w:t>
      </w:r>
    </w:p>
    <w:p w:rsidR="00806A44" w:rsidRDefault="00806A44" w:rsidP="00806A44">
      <w:pPr>
        <w:rPr>
          <w:rFonts w:ascii="PT Astra Serif" w:hAnsi="PT Astra Serif" w:cs="PT Astra Serif"/>
          <w:bCs/>
          <w:sz w:val="28"/>
          <w:szCs w:val="28"/>
        </w:rPr>
      </w:pPr>
    </w:p>
    <w:p w:rsidR="00806A44" w:rsidRPr="00393095" w:rsidRDefault="006535D6" w:rsidP="006535D6">
      <w:pPr>
        <w:jc w:val="center"/>
        <w:rPr>
          <w:rFonts w:ascii="PT Astra Serif" w:hAnsi="PT Astra Serif"/>
          <w:b/>
          <w:sz w:val="28"/>
          <w:szCs w:val="28"/>
        </w:rPr>
      </w:pPr>
      <w:r w:rsidRPr="00393095">
        <w:rPr>
          <w:rFonts w:ascii="PT Astra Serif" w:hAnsi="PT Astra Serif" w:cs="PT Astra Serif"/>
          <w:b/>
          <w:bCs/>
          <w:sz w:val="28"/>
          <w:szCs w:val="28"/>
        </w:rPr>
        <w:t>Уважаемые коллеги!</w:t>
      </w:r>
    </w:p>
    <w:p w:rsidR="006535D6" w:rsidRPr="00951AB4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B1AAC">
        <w:rPr>
          <w:rFonts w:ascii="PT Astra Serif" w:hAnsi="PT Astra Serif"/>
          <w:spacing w:val="-4"/>
          <w:sz w:val="28"/>
          <w:szCs w:val="28"/>
        </w:rPr>
        <w:t>АНО</w:t>
      </w:r>
      <w:proofErr w:type="spellEnd"/>
      <w:r w:rsidRPr="00CB1AAC">
        <w:rPr>
          <w:rFonts w:ascii="PT Astra Serif" w:hAnsi="PT Astra Serif"/>
          <w:spacing w:val="-4"/>
          <w:sz w:val="28"/>
          <w:szCs w:val="28"/>
        </w:rPr>
        <w:t xml:space="preserve"> «</w:t>
      </w:r>
      <w:proofErr w:type="spellStart"/>
      <w:r w:rsidRPr="00CB1AAC">
        <w:rPr>
          <w:rFonts w:ascii="PT Astra Serif" w:hAnsi="PT Astra Serif"/>
          <w:spacing w:val="-4"/>
          <w:sz w:val="28"/>
          <w:szCs w:val="28"/>
        </w:rPr>
        <w:t>ЦСИ</w:t>
      </w:r>
      <w:proofErr w:type="spellEnd"/>
      <w:r w:rsidRPr="00CB1AAC">
        <w:rPr>
          <w:rFonts w:ascii="PT Astra Serif" w:hAnsi="PT Astra Serif"/>
          <w:spacing w:val="-4"/>
          <w:sz w:val="28"/>
          <w:szCs w:val="28"/>
        </w:rPr>
        <w:t xml:space="preserve"> Ульяновской области» сформирован рейтинг социально-экономического развития муниципальных </w:t>
      </w:r>
      <w:r w:rsidRPr="00CB1AAC">
        <w:rPr>
          <w:rFonts w:ascii="PT Astra Serif" w:hAnsi="PT Astra Serif"/>
          <w:color w:val="000000"/>
          <w:spacing w:val="-4"/>
          <w:sz w:val="28"/>
          <w:szCs w:val="28"/>
        </w:rPr>
        <w:t xml:space="preserve">образований Ульяновской области </w:t>
      </w:r>
      <w:r w:rsidRPr="006535D6">
        <w:rPr>
          <w:rFonts w:ascii="PT Astra Serif" w:hAnsi="PT Astra Serif"/>
          <w:color w:val="000000"/>
          <w:spacing w:val="-4"/>
          <w:sz w:val="28"/>
          <w:szCs w:val="28"/>
        </w:rPr>
        <w:t>за 2021 год.</w:t>
      </w:r>
      <w:r w:rsidRPr="00CB1AA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6535D6">
        <w:rPr>
          <w:rFonts w:ascii="PT Astra Serif" w:hAnsi="PT Astra Serif"/>
          <w:color w:val="000000"/>
          <w:sz w:val="28"/>
          <w:szCs w:val="28"/>
        </w:rPr>
        <w:t xml:space="preserve">С прошлого года он </w:t>
      </w:r>
      <w:r w:rsidR="006535D6" w:rsidRPr="00951AB4">
        <w:rPr>
          <w:rFonts w:ascii="PT Astra Serif" w:hAnsi="PT Astra Serif"/>
          <w:color w:val="000000"/>
          <w:sz w:val="28"/>
          <w:szCs w:val="28"/>
        </w:rPr>
        <w:t>формируется еже</w:t>
      </w:r>
      <w:r w:rsidR="006535D6">
        <w:rPr>
          <w:rFonts w:ascii="PT Astra Serif" w:hAnsi="PT Astra Serif"/>
          <w:color w:val="000000"/>
          <w:sz w:val="28"/>
          <w:szCs w:val="28"/>
        </w:rPr>
        <w:t>квартально</w:t>
      </w:r>
      <w:r w:rsidR="006535D6" w:rsidRPr="00951AB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535D6">
        <w:rPr>
          <w:rFonts w:ascii="PT Astra Serif" w:hAnsi="PT Astra Serif"/>
          <w:color w:val="000000"/>
          <w:sz w:val="28"/>
          <w:szCs w:val="28"/>
        </w:rPr>
        <w:t>и</w:t>
      </w:r>
      <w:r w:rsidR="006535D6" w:rsidRPr="00951AB4">
        <w:rPr>
          <w:rFonts w:ascii="PT Astra Serif" w:hAnsi="PT Astra Serif"/>
          <w:color w:val="000000"/>
          <w:sz w:val="28"/>
          <w:szCs w:val="28"/>
        </w:rPr>
        <w:t xml:space="preserve"> включает</w:t>
      </w:r>
      <w:r w:rsidR="006535D6" w:rsidRPr="00951AB4">
        <w:rPr>
          <w:rFonts w:ascii="PT Astra Serif" w:hAnsi="PT Astra Serif"/>
          <w:sz w:val="28"/>
          <w:szCs w:val="28"/>
        </w:rPr>
        <w:t xml:space="preserve"> пять основных блоков: </w:t>
      </w:r>
    </w:p>
    <w:p w:rsidR="006535D6" w:rsidRPr="00951AB4" w:rsidRDefault="006535D6" w:rsidP="00393095">
      <w:pPr>
        <w:tabs>
          <w:tab w:val="left" w:pos="217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51AB4">
        <w:rPr>
          <w:rFonts w:ascii="PT Astra Serif" w:hAnsi="PT Astra Serif"/>
          <w:color w:val="000000"/>
          <w:sz w:val="28"/>
          <w:szCs w:val="28"/>
        </w:rPr>
        <w:t>1. «</w:t>
      </w:r>
      <w:r w:rsidRPr="00951AB4">
        <w:rPr>
          <w:rFonts w:ascii="PT Astra Serif" w:hAnsi="PT Astra Serif"/>
          <w:b/>
          <w:color w:val="000000"/>
          <w:sz w:val="28"/>
          <w:szCs w:val="28"/>
        </w:rPr>
        <w:t>Развитие инвестиционной деятельности и благоприятного делового климата»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6535D6" w:rsidRPr="00951AB4" w:rsidRDefault="006535D6" w:rsidP="00393095">
      <w:pPr>
        <w:tabs>
          <w:tab w:val="left" w:pos="217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51AB4">
        <w:rPr>
          <w:rFonts w:ascii="PT Astra Serif" w:hAnsi="PT Astra Serif"/>
          <w:color w:val="000000"/>
          <w:sz w:val="28"/>
          <w:szCs w:val="28"/>
        </w:rPr>
        <w:t>2. «</w:t>
      </w:r>
      <w:r w:rsidRPr="00951AB4">
        <w:rPr>
          <w:rFonts w:ascii="PT Astra Serif" w:hAnsi="PT Astra Serif"/>
          <w:b/>
          <w:color w:val="000000"/>
          <w:sz w:val="28"/>
          <w:szCs w:val="28"/>
        </w:rPr>
        <w:t>Финансово-экономическое развитие</w:t>
      </w:r>
      <w:r w:rsidRPr="00951AB4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6535D6" w:rsidRPr="00951AB4" w:rsidRDefault="006535D6" w:rsidP="00393095">
      <w:pPr>
        <w:tabs>
          <w:tab w:val="left" w:pos="217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51AB4">
        <w:rPr>
          <w:rFonts w:ascii="PT Astra Serif" w:hAnsi="PT Astra Serif"/>
          <w:color w:val="000000"/>
          <w:sz w:val="28"/>
          <w:szCs w:val="28"/>
        </w:rPr>
        <w:t>3. «</w:t>
      </w:r>
      <w:r w:rsidRPr="00951AB4">
        <w:rPr>
          <w:rFonts w:ascii="PT Astra Serif" w:hAnsi="PT Astra Serif"/>
          <w:b/>
          <w:color w:val="000000"/>
          <w:sz w:val="28"/>
          <w:szCs w:val="28"/>
        </w:rPr>
        <w:t>Денежные доходы населения»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6535D6" w:rsidRPr="00951AB4" w:rsidRDefault="006535D6" w:rsidP="00393095">
      <w:pPr>
        <w:tabs>
          <w:tab w:val="left" w:pos="217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51AB4">
        <w:rPr>
          <w:rFonts w:ascii="PT Astra Serif" w:hAnsi="PT Astra Serif"/>
          <w:color w:val="000000"/>
          <w:sz w:val="28"/>
          <w:szCs w:val="28"/>
        </w:rPr>
        <w:t>4. «</w:t>
      </w:r>
      <w:r w:rsidRPr="00951AB4">
        <w:rPr>
          <w:rFonts w:ascii="PT Astra Serif" w:hAnsi="PT Astra Serif"/>
          <w:b/>
          <w:color w:val="000000"/>
          <w:sz w:val="28"/>
          <w:szCs w:val="28"/>
        </w:rPr>
        <w:t>Социальная сфера</w:t>
      </w:r>
      <w:r w:rsidRPr="00951AB4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6535D6" w:rsidRPr="00951AB4" w:rsidRDefault="006535D6" w:rsidP="00393095">
      <w:pPr>
        <w:tabs>
          <w:tab w:val="left" w:pos="217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51AB4">
        <w:rPr>
          <w:rFonts w:ascii="PT Astra Serif" w:hAnsi="PT Astra Serif"/>
          <w:color w:val="000000"/>
          <w:sz w:val="28"/>
          <w:szCs w:val="28"/>
        </w:rPr>
        <w:t>5. «</w:t>
      </w:r>
      <w:r w:rsidRPr="00951AB4">
        <w:rPr>
          <w:rFonts w:ascii="PT Astra Serif" w:hAnsi="PT Astra Serif"/>
          <w:b/>
          <w:color w:val="000000"/>
          <w:sz w:val="28"/>
          <w:szCs w:val="28"/>
        </w:rPr>
        <w:t>Развитие сельского хозяйства</w:t>
      </w:r>
      <w:r w:rsidRPr="00951AB4">
        <w:rPr>
          <w:rFonts w:ascii="PT Astra Serif" w:hAnsi="PT Astra Serif"/>
          <w:color w:val="000000"/>
          <w:sz w:val="28"/>
          <w:szCs w:val="28"/>
        </w:rPr>
        <w:t>» – для муниципальных районов.</w:t>
      </w:r>
    </w:p>
    <w:p w:rsidR="006535D6" w:rsidRPr="00951AB4" w:rsidRDefault="006535D6" w:rsidP="00393095">
      <w:pPr>
        <w:tabs>
          <w:tab w:val="left" w:pos="2170"/>
        </w:tabs>
        <w:spacing w:after="0" w:line="240" w:lineRule="auto"/>
        <w:ind w:firstLine="709"/>
        <w:jc w:val="both"/>
        <w:rPr>
          <w:rFonts w:ascii="PT Astra Serif" w:hAnsi="PT Astra Serif"/>
          <w:snapToGrid w:val="0"/>
          <w:color w:val="000000"/>
          <w:sz w:val="28"/>
          <w:szCs w:val="28"/>
        </w:rPr>
      </w:pPr>
      <w:r w:rsidRPr="00951AB4">
        <w:rPr>
          <w:rFonts w:ascii="PT Astra Serif" w:hAnsi="PT Astra Serif"/>
          <w:color w:val="000000"/>
          <w:sz w:val="28"/>
          <w:szCs w:val="28"/>
        </w:rPr>
        <w:t>Рейтинг включает 3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951AB4">
        <w:rPr>
          <w:rFonts w:ascii="PT Astra Serif" w:hAnsi="PT Astra Serif"/>
          <w:color w:val="000000"/>
          <w:sz w:val="28"/>
          <w:szCs w:val="28"/>
        </w:rPr>
        <w:t xml:space="preserve"> показателя для городских округов и 3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951AB4">
        <w:rPr>
          <w:rFonts w:ascii="PT Astra Serif" w:hAnsi="PT Astra Serif"/>
          <w:color w:val="000000"/>
          <w:sz w:val="28"/>
          <w:szCs w:val="28"/>
        </w:rPr>
        <w:t> показателей для муниципальных районов (+сельское хозяйство)</w:t>
      </w:r>
      <w:r w:rsidRPr="00951AB4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Pr="00951AB4">
        <w:rPr>
          <w:rFonts w:ascii="PT Astra Serif" w:hAnsi="PT Astra Serif"/>
          <w:sz w:val="28"/>
          <w:szCs w:val="28"/>
        </w:rPr>
        <w:t xml:space="preserve">Традиционно совокупная оценка развития территорий формируется как по абсолютным </w:t>
      </w:r>
      <w:r w:rsidRPr="00951AB4">
        <w:rPr>
          <w:rFonts w:ascii="PT Astra Serif" w:hAnsi="PT Astra Serif"/>
          <w:snapToGrid w:val="0"/>
          <w:color w:val="000000"/>
          <w:sz w:val="28"/>
          <w:szCs w:val="28"/>
        </w:rPr>
        <w:t>среднедушевым</w:t>
      </w:r>
      <w:r w:rsidRPr="00951AB4">
        <w:rPr>
          <w:rFonts w:ascii="PT Astra Serif" w:hAnsi="PT Astra Serif"/>
          <w:b/>
          <w:snapToGrid w:val="0"/>
          <w:color w:val="000000"/>
          <w:sz w:val="28"/>
          <w:szCs w:val="28"/>
        </w:rPr>
        <w:t xml:space="preserve"> </w:t>
      </w:r>
      <w:r w:rsidRPr="00951AB4">
        <w:rPr>
          <w:rFonts w:ascii="PT Astra Serif" w:hAnsi="PT Astra Serif"/>
          <w:sz w:val="28"/>
          <w:szCs w:val="28"/>
        </w:rPr>
        <w:t xml:space="preserve">показателям развития экономики и социальной сферы, так и по темпам роста </w:t>
      </w:r>
      <w:r w:rsidRPr="00951AB4">
        <w:rPr>
          <w:rFonts w:ascii="PT Astra Serif" w:hAnsi="PT Astra Serif"/>
          <w:bCs/>
          <w:sz w:val="28"/>
          <w:szCs w:val="28"/>
        </w:rPr>
        <w:t>по отношению к соответствующему периоду (дате) предыдущего года</w:t>
      </w:r>
      <w:r w:rsidRPr="00951AB4">
        <w:rPr>
          <w:rFonts w:ascii="PT Astra Serif" w:hAnsi="PT Astra Serif"/>
          <w:snapToGrid w:val="0"/>
          <w:color w:val="000000"/>
          <w:sz w:val="28"/>
          <w:szCs w:val="28"/>
        </w:rPr>
        <w:t>.</w:t>
      </w:r>
    </w:p>
    <w:p w:rsidR="00CB4B6C" w:rsidRPr="00C87D0D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>
        <w:rPr>
          <w:rFonts w:ascii="PT Astra Serif" w:hAnsi="PT Astra Serif"/>
          <w:color w:val="000000"/>
          <w:sz w:val="28"/>
          <w:szCs w:val="28"/>
        </w:rPr>
        <w:t>Ниже представлены</w:t>
      </w:r>
      <w:r w:rsidRPr="00CB1AA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7D0D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ключевые изменения, которые произошли </w:t>
      </w:r>
      <w:r w:rsidR="00712B6E">
        <w:rPr>
          <w:rFonts w:ascii="PT Astra Serif" w:hAnsi="PT Astra Serif"/>
          <w:b/>
          <w:color w:val="000000"/>
          <w:sz w:val="28"/>
          <w:szCs w:val="28"/>
          <w:u w:val="single"/>
        </w:rPr>
        <w:br/>
      </w:r>
      <w:r w:rsidRPr="00C87D0D">
        <w:rPr>
          <w:rFonts w:ascii="PT Astra Serif" w:hAnsi="PT Astra Serif"/>
          <w:b/>
          <w:color w:val="000000"/>
          <w:sz w:val="28"/>
          <w:szCs w:val="28"/>
          <w:u w:val="single"/>
        </w:rPr>
        <w:t>за анализируемый период, а также яркие и «провальные моменты»</w:t>
      </w:r>
      <w:r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 по блокам рейтинга</w:t>
      </w:r>
      <w:r w:rsidRPr="00C87D0D">
        <w:rPr>
          <w:rFonts w:ascii="PT Astra Serif" w:hAnsi="PT Astra Serif"/>
          <w:b/>
          <w:color w:val="000000"/>
          <w:sz w:val="28"/>
          <w:szCs w:val="28"/>
          <w:u w:val="single"/>
        </w:rPr>
        <w:t>.</w:t>
      </w:r>
    </w:p>
    <w:p w:rsidR="00CB4B6C" w:rsidRPr="00C87D0D" w:rsidRDefault="00CB4B6C" w:rsidP="0039309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C87D0D">
        <w:rPr>
          <w:rFonts w:ascii="PT Astra Serif" w:hAnsi="PT Astra Serif"/>
          <w:b/>
          <w:color w:val="000000"/>
          <w:sz w:val="28"/>
          <w:szCs w:val="28"/>
          <w:u w:val="single"/>
        </w:rPr>
        <w:t>Блок «Инвестиционная деятельность и благоприятный деловой климат»</w:t>
      </w:r>
    </w:p>
    <w:p w:rsidR="007D4469" w:rsidRDefault="007D4469" w:rsidP="00393095">
      <w:pPr>
        <w:shd w:val="clear" w:color="auto" w:fill="FFFFFF"/>
        <w:spacing w:after="0" w:line="240" w:lineRule="auto"/>
        <w:ind w:firstLine="635"/>
        <w:jc w:val="both"/>
        <w:rPr>
          <w:rFonts w:ascii="PT Astra Serif" w:hAnsi="PT Astra Serif"/>
          <w:sz w:val="28"/>
          <w:szCs w:val="28"/>
        </w:rPr>
      </w:pPr>
      <w:r w:rsidRPr="007D4469">
        <w:rPr>
          <w:rFonts w:ascii="PT Astra Serif" w:hAnsi="PT Astra Serif"/>
          <w:sz w:val="28"/>
          <w:szCs w:val="28"/>
        </w:rPr>
        <w:t xml:space="preserve">По уровню выполнения плана по объёму инвестиций в основной капитал </w:t>
      </w:r>
      <w:r>
        <w:rPr>
          <w:rFonts w:ascii="PT Astra Serif" w:hAnsi="PT Astra Serif"/>
          <w:sz w:val="28"/>
          <w:szCs w:val="28"/>
        </w:rPr>
        <w:br/>
      </w:r>
      <w:r w:rsidRPr="007D4469">
        <w:rPr>
          <w:rFonts w:ascii="PT Astra Serif" w:hAnsi="PT Astra Serif"/>
          <w:sz w:val="28"/>
          <w:szCs w:val="28"/>
        </w:rPr>
        <w:t>в 17 муниципальных образованиях области отмечено перевыполнение плановых показателей. Зафиксировано невыполнение установленных плановых значений в Новоспасском районе - 86,28 %</w:t>
      </w:r>
      <w:r w:rsidRPr="007D446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7D4469">
        <w:rPr>
          <w:rFonts w:ascii="PT Astra Serif" w:hAnsi="PT Astra Serif"/>
          <w:sz w:val="28"/>
          <w:szCs w:val="28"/>
        </w:rPr>
        <w:t xml:space="preserve">Сенгилеевском районе - 86,66 % </w:t>
      </w:r>
      <w:r>
        <w:rPr>
          <w:rFonts w:ascii="PT Astra Serif" w:hAnsi="PT Astra Serif"/>
          <w:sz w:val="28"/>
          <w:szCs w:val="28"/>
        </w:rPr>
        <w:br/>
      </w:r>
      <w:r w:rsidRPr="007D4469">
        <w:rPr>
          <w:rFonts w:ascii="PT Astra Serif" w:hAnsi="PT Astra Serif"/>
          <w:sz w:val="28"/>
          <w:szCs w:val="28"/>
        </w:rPr>
        <w:t>и Тереньгульском районе - 82,24 %.</w:t>
      </w:r>
      <w:r w:rsidRPr="007D446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7D446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Зафиксировано</w:t>
      </w:r>
      <w:r w:rsidRPr="007D446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7D446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абсолютное невыполнение плана</w:t>
      </w:r>
      <w:r w:rsidRPr="007D446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r w:rsidRPr="007D4469">
        <w:rPr>
          <w:rFonts w:ascii="PT Astra Serif" w:hAnsi="PT Astra Serif"/>
          <w:sz w:val="28"/>
          <w:szCs w:val="28"/>
        </w:rPr>
        <w:t>на уровне ниже 20 %)</w:t>
      </w:r>
      <w:r>
        <w:rPr>
          <w:rFonts w:ascii="PT Astra Serif" w:hAnsi="PT Astra Serif"/>
          <w:sz w:val="28"/>
          <w:szCs w:val="28"/>
        </w:rPr>
        <w:t xml:space="preserve"> в </w:t>
      </w:r>
      <w:r w:rsidRPr="007D4469">
        <w:rPr>
          <w:rFonts w:ascii="PT Astra Serif" w:hAnsi="PT Astra Serif"/>
          <w:sz w:val="28"/>
          <w:szCs w:val="28"/>
        </w:rPr>
        <w:t xml:space="preserve">Инзенском районе </w:t>
      </w:r>
      <w:r>
        <w:rPr>
          <w:rFonts w:ascii="PT Astra Serif" w:hAnsi="PT Astra Serif"/>
          <w:sz w:val="28"/>
          <w:szCs w:val="28"/>
        </w:rPr>
        <w:t xml:space="preserve">– 14,11 %, </w:t>
      </w:r>
      <w:r w:rsidRPr="007D4469">
        <w:rPr>
          <w:rFonts w:ascii="PT Astra Serif" w:hAnsi="PT Astra Serif"/>
          <w:sz w:val="28"/>
          <w:szCs w:val="28"/>
        </w:rPr>
        <w:t xml:space="preserve">Новомалыклинском районе </w:t>
      </w:r>
      <w:r>
        <w:rPr>
          <w:rFonts w:ascii="PT Astra Serif" w:hAnsi="PT Astra Serif"/>
          <w:sz w:val="28"/>
          <w:szCs w:val="28"/>
        </w:rPr>
        <w:t>– 18,74 %.</w:t>
      </w:r>
    </w:p>
    <w:p w:rsidR="00CB4B6C" w:rsidRDefault="00CB4B6C" w:rsidP="00393095">
      <w:pPr>
        <w:shd w:val="clear" w:color="auto" w:fill="FFFFFF"/>
        <w:spacing w:after="0" w:line="240" w:lineRule="auto"/>
        <w:ind w:firstLine="633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По показателю </w:t>
      </w:r>
      <w:r>
        <w:rPr>
          <w:rFonts w:ascii="PT Astra Serif" w:hAnsi="PT Astra Serif"/>
          <w:b/>
          <w:sz w:val="28"/>
          <w:szCs w:val="28"/>
        </w:rPr>
        <w:t>о</w:t>
      </w:r>
      <w:r w:rsidRPr="001A3E6B">
        <w:rPr>
          <w:rFonts w:ascii="PT Astra Serif" w:hAnsi="PT Astra Serif"/>
          <w:b/>
          <w:sz w:val="28"/>
          <w:szCs w:val="28"/>
        </w:rPr>
        <w:t>бъём инвестиций в основной капитал в расчёте на душу населения</w:t>
      </w:r>
      <w:r>
        <w:rPr>
          <w:rFonts w:ascii="PT Astra Serif" w:hAnsi="PT Astra Serif"/>
          <w:sz w:val="28"/>
          <w:szCs w:val="28"/>
        </w:rPr>
        <w:t xml:space="preserve"> в число</w:t>
      </w:r>
      <w:proofErr w:type="gramEnd"/>
      <w:r>
        <w:rPr>
          <w:rFonts w:ascii="PT Astra Serif" w:hAnsi="PT Astra Serif"/>
          <w:sz w:val="28"/>
          <w:szCs w:val="28"/>
        </w:rPr>
        <w:t xml:space="preserve"> лидеров вошли города Ульяновск и Димитровград, Мелекесский, Чердаклинский и Сенгилеевский районы. </w:t>
      </w:r>
    </w:p>
    <w:p w:rsidR="00CB4B6C" w:rsidRPr="00CB1AAC" w:rsidRDefault="00CB4B6C" w:rsidP="0039309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B1AAC">
        <w:rPr>
          <w:rFonts w:ascii="PT Astra Serif" w:hAnsi="PT Astra Serif"/>
          <w:sz w:val="28"/>
          <w:szCs w:val="28"/>
        </w:rPr>
        <w:t xml:space="preserve">Установленный </w:t>
      </w:r>
      <w:r w:rsidRPr="0004239D">
        <w:rPr>
          <w:rFonts w:ascii="PT Astra Serif" w:hAnsi="PT Astra Serif"/>
          <w:sz w:val="28"/>
          <w:szCs w:val="28"/>
        </w:rPr>
        <w:t xml:space="preserve">план по </w:t>
      </w:r>
      <w:r w:rsidRPr="00C87D0D">
        <w:rPr>
          <w:rFonts w:ascii="PT Astra Serif" w:hAnsi="PT Astra Serif"/>
          <w:b/>
          <w:sz w:val="28"/>
          <w:szCs w:val="28"/>
        </w:rPr>
        <w:t>созданию рабочих мест</w:t>
      </w:r>
      <w:r w:rsidRPr="0004239D">
        <w:rPr>
          <w:rFonts w:ascii="PT Astra Serif" w:hAnsi="PT Astra Serif"/>
          <w:sz w:val="28"/>
          <w:szCs w:val="28"/>
        </w:rPr>
        <w:t xml:space="preserve"> выполняется во всех муниципальных образованиях</w:t>
      </w:r>
      <w:r w:rsidRPr="00CB1AAC">
        <w:rPr>
          <w:rFonts w:ascii="PT Astra Serif" w:hAnsi="PT Astra Serif"/>
          <w:b/>
          <w:i/>
          <w:sz w:val="28"/>
          <w:szCs w:val="28"/>
        </w:rPr>
        <w:t xml:space="preserve">. </w:t>
      </w:r>
      <w:r w:rsidRPr="00CB1AAC">
        <w:rPr>
          <w:rFonts w:ascii="PT Astra Serif" w:hAnsi="PT Astra Serif"/>
          <w:sz w:val="28"/>
          <w:szCs w:val="28"/>
        </w:rPr>
        <w:t xml:space="preserve">По количеству созданных рабочих мест </w:t>
      </w:r>
      <w:r>
        <w:rPr>
          <w:rFonts w:ascii="PT Astra Serif" w:hAnsi="PT Astra Serif"/>
          <w:sz w:val="28"/>
          <w:szCs w:val="28"/>
        </w:rPr>
        <w:br/>
      </w:r>
      <w:r w:rsidRPr="00CB1AAC">
        <w:rPr>
          <w:rFonts w:ascii="PT Astra Serif" w:hAnsi="PT Astra Serif"/>
          <w:sz w:val="28"/>
          <w:szCs w:val="28"/>
        </w:rPr>
        <w:t>в расчёте на 1000 населения в лидерах оказались Новомалыклинский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(42,3 рабочих мест)</w:t>
      </w:r>
      <w:r w:rsidRPr="00CB1AAC">
        <w:rPr>
          <w:rFonts w:ascii="PT Astra Serif" w:hAnsi="PT Astra Serif"/>
          <w:sz w:val="28"/>
          <w:szCs w:val="28"/>
        </w:rPr>
        <w:t xml:space="preserve">, Кузоватовский </w:t>
      </w:r>
      <w:r>
        <w:rPr>
          <w:rFonts w:ascii="PT Astra Serif" w:hAnsi="PT Astra Serif"/>
          <w:sz w:val="28"/>
          <w:szCs w:val="28"/>
        </w:rPr>
        <w:t xml:space="preserve">(34,5 рабочих мест) </w:t>
      </w:r>
      <w:r w:rsidRPr="00CB1AAC">
        <w:rPr>
          <w:rFonts w:ascii="PT Astra Serif" w:hAnsi="PT Astra Serif"/>
          <w:sz w:val="28"/>
          <w:szCs w:val="28"/>
        </w:rPr>
        <w:t xml:space="preserve">и Мелекесский </w:t>
      </w:r>
      <w:r>
        <w:rPr>
          <w:rFonts w:ascii="PT Astra Serif" w:hAnsi="PT Astra Serif"/>
          <w:sz w:val="28"/>
          <w:szCs w:val="28"/>
        </w:rPr>
        <w:br/>
        <w:t xml:space="preserve">(27,7 рабочих мест) </w:t>
      </w:r>
      <w:r w:rsidRPr="00CB1AAC">
        <w:rPr>
          <w:rFonts w:ascii="PT Astra Serif" w:hAnsi="PT Astra Serif"/>
          <w:sz w:val="28"/>
          <w:szCs w:val="28"/>
        </w:rPr>
        <w:t xml:space="preserve">районы. </w:t>
      </w:r>
    </w:p>
    <w:p w:rsidR="00CB4B6C" w:rsidRPr="00CB1AAC" w:rsidRDefault="00CB4B6C" w:rsidP="00393095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pacing w:val="-2"/>
          <w:sz w:val="28"/>
          <w:szCs w:val="28"/>
          <w:highlight w:val="yellow"/>
        </w:rPr>
      </w:pPr>
      <w:r w:rsidRPr="00CB1AAC">
        <w:rPr>
          <w:rFonts w:ascii="PT Astra Serif" w:hAnsi="PT Astra Serif"/>
          <w:spacing w:val="-2"/>
          <w:sz w:val="28"/>
          <w:szCs w:val="28"/>
        </w:rPr>
        <w:t xml:space="preserve">Самая большая сумма </w:t>
      </w:r>
      <w:r w:rsidRPr="00C87D0D">
        <w:rPr>
          <w:rFonts w:ascii="PT Astra Serif" w:hAnsi="PT Astra Serif"/>
          <w:b/>
          <w:spacing w:val="-2"/>
          <w:sz w:val="28"/>
          <w:szCs w:val="28"/>
        </w:rPr>
        <w:t>задолженности бюджета муниципального образования перед субъектами предпринимательства</w:t>
      </w:r>
      <w:r w:rsidRPr="0004239D">
        <w:rPr>
          <w:rFonts w:ascii="PT Astra Serif" w:hAnsi="PT Astra Serif"/>
          <w:spacing w:val="-2"/>
          <w:sz w:val="28"/>
          <w:szCs w:val="28"/>
        </w:rPr>
        <w:t xml:space="preserve"> отмечается </w:t>
      </w:r>
      <w:r w:rsidRPr="0004239D">
        <w:rPr>
          <w:rFonts w:ascii="PT Astra Serif" w:hAnsi="PT Astra Serif"/>
          <w:spacing w:val="-2"/>
          <w:sz w:val="28"/>
          <w:szCs w:val="28"/>
        </w:rPr>
        <w:br/>
        <w:t xml:space="preserve">в </w:t>
      </w:r>
      <w:r>
        <w:rPr>
          <w:rFonts w:ascii="PT Astra Serif" w:hAnsi="PT Astra Serif"/>
          <w:spacing w:val="-2"/>
          <w:sz w:val="28"/>
          <w:szCs w:val="28"/>
        </w:rPr>
        <w:t>Павловском (5,25</w:t>
      </w:r>
      <w:r w:rsidRPr="0004239D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Pr="0004239D">
        <w:rPr>
          <w:rFonts w:ascii="PT Astra Serif" w:hAnsi="PT Astra Serif"/>
          <w:spacing w:val="-2"/>
          <w:sz w:val="28"/>
          <w:szCs w:val="28"/>
        </w:rPr>
        <w:t>млн</w:t>
      </w:r>
      <w:proofErr w:type="gramEnd"/>
      <w:r w:rsidRPr="0004239D">
        <w:rPr>
          <w:rFonts w:ascii="PT Astra Serif" w:hAnsi="PT Astra Serif"/>
          <w:spacing w:val="-2"/>
          <w:sz w:val="28"/>
          <w:szCs w:val="28"/>
        </w:rPr>
        <w:t xml:space="preserve"> руб.)</w:t>
      </w:r>
      <w:r>
        <w:rPr>
          <w:rFonts w:ascii="PT Astra Serif" w:hAnsi="PT Astra Serif"/>
          <w:spacing w:val="-2"/>
          <w:sz w:val="28"/>
          <w:szCs w:val="28"/>
        </w:rPr>
        <w:t xml:space="preserve"> и</w:t>
      </w:r>
      <w:r w:rsidRPr="0004239D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</w:rPr>
        <w:t xml:space="preserve">Новомалыклинском </w:t>
      </w:r>
      <w:r w:rsidRPr="0004239D">
        <w:rPr>
          <w:rFonts w:ascii="PT Astra Serif" w:hAnsi="PT Astra Serif"/>
          <w:spacing w:val="-2"/>
          <w:sz w:val="28"/>
          <w:szCs w:val="28"/>
        </w:rPr>
        <w:t>район</w:t>
      </w:r>
      <w:r>
        <w:rPr>
          <w:rFonts w:ascii="PT Astra Serif" w:hAnsi="PT Astra Serif"/>
          <w:spacing w:val="-2"/>
          <w:sz w:val="28"/>
          <w:szCs w:val="28"/>
        </w:rPr>
        <w:t>ах</w:t>
      </w:r>
      <w:r w:rsidRPr="0004239D">
        <w:rPr>
          <w:rFonts w:ascii="PT Astra Serif" w:hAnsi="PT Astra Serif"/>
          <w:spacing w:val="-2"/>
          <w:sz w:val="28"/>
          <w:szCs w:val="28"/>
        </w:rPr>
        <w:t xml:space="preserve"> (</w:t>
      </w:r>
      <w:r>
        <w:rPr>
          <w:rFonts w:ascii="PT Astra Serif" w:hAnsi="PT Astra Serif"/>
          <w:spacing w:val="-2"/>
          <w:sz w:val="28"/>
          <w:szCs w:val="28"/>
        </w:rPr>
        <w:t>1,6</w:t>
      </w:r>
      <w:r w:rsidRPr="0004239D">
        <w:rPr>
          <w:rFonts w:ascii="PT Astra Serif" w:hAnsi="PT Astra Serif"/>
          <w:spacing w:val="-2"/>
          <w:sz w:val="28"/>
          <w:szCs w:val="28"/>
        </w:rPr>
        <w:t xml:space="preserve"> млн руб.). </w:t>
      </w:r>
      <w:r w:rsidR="007D4469">
        <w:rPr>
          <w:rFonts w:ascii="PT Astra Serif" w:hAnsi="PT Astra Serif"/>
          <w:spacing w:val="-2"/>
          <w:sz w:val="28"/>
          <w:szCs w:val="28"/>
        </w:rPr>
        <w:br/>
      </w:r>
      <w:r w:rsidRPr="0004239D">
        <w:rPr>
          <w:rFonts w:ascii="PT Astra Serif" w:hAnsi="PT Astra Serif"/>
          <w:spacing w:val="-2"/>
          <w:sz w:val="28"/>
          <w:szCs w:val="28"/>
        </w:rPr>
        <w:t>В 1</w:t>
      </w:r>
      <w:r>
        <w:rPr>
          <w:rFonts w:ascii="PT Astra Serif" w:hAnsi="PT Astra Serif"/>
          <w:spacing w:val="-2"/>
          <w:sz w:val="28"/>
          <w:szCs w:val="28"/>
        </w:rPr>
        <w:t>8</w:t>
      </w:r>
      <w:r w:rsidRPr="0004239D">
        <w:rPr>
          <w:rFonts w:ascii="PT Astra Serif" w:hAnsi="PT Astra Serif"/>
          <w:spacing w:val="-2"/>
          <w:sz w:val="28"/>
          <w:szCs w:val="28"/>
        </w:rPr>
        <w:t xml:space="preserve"> муниципальных образо</w:t>
      </w:r>
      <w:r w:rsidRPr="00CB1AAC">
        <w:rPr>
          <w:rFonts w:ascii="PT Astra Serif" w:hAnsi="PT Astra Serif"/>
          <w:spacing w:val="-2"/>
          <w:sz w:val="28"/>
          <w:szCs w:val="28"/>
        </w:rPr>
        <w:t>ваниях Ульяновской области задолженность полностью отсутствует.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</w:p>
    <w:p w:rsidR="00CB4B6C" w:rsidRPr="00DC71FE" w:rsidRDefault="00CB4B6C" w:rsidP="00393095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C71FE">
        <w:rPr>
          <w:rFonts w:ascii="PT Astra Serif" w:hAnsi="PT Astra Serif"/>
          <w:b/>
          <w:sz w:val="28"/>
          <w:szCs w:val="28"/>
          <w:u w:val="single"/>
        </w:rPr>
        <w:t>2. Блок «Финансово-экономическое развитие»</w:t>
      </w:r>
    </w:p>
    <w:p w:rsidR="00CB4B6C" w:rsidRPr="00DC71FE" w:rsidRDefault="00CB4B6C" w:rsidP="0039309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C21A6">
        <w:rPr>
          <w:rFonts w:ascii="PT Astra Serif" w:hAnsi="PT Astra Serif"/>
          <w:sz w:val="28"/>
          <w:szCs w:val="28"/>
        </w:rPr>
        <w:t xml:space="preserve">Отрицательная динамика по </w:t>
      </w:r>
      <w:r w:rsidRPr="00AC21A6">
        <w:rPr>
          <w:rFonts w:ascii="PT Astra Serif" w:hAnsi="PT Astra Serif"/>
          <w:b/>
          <w:sz w:val="28"/>
          <w:szCs w:val="28"/>
        </w:rPr>
        <w:t>оборотам организаций</w:t>
      </w:r>
      <w:r w:rsidRPr="00AC21A6">
        <w:rPr>
          <w:rFonts w:ascii="PT Astra Serif" w:hAnsi="PT Astra Serif"/>
          <w:sz w:val="28"/>
          <w:szCs w:val="28"/>
        </w:rPr>
        <w:t xml:space="preserve"> наблюдается в 4 из 24 муниципальных образований</w:t>
      </w:r>
      <w:r>
        <w:rPr>
          <w:rFonts w:ascii="PT Astra Serif" w:hAnsi="PT Astra Serif"/>
          <w:sz w:val="28"/>
          <w:szCs w:val="28"/>
        </w:rPr>
        <w:t xml:space="preserve">: Старомайнском – 87,2 %, Цильнинском – 93,1 %, Сенгилеевском </w:t>
      </w:r>
      <w:proofErr w:type="gramStart"/>
      <w:r>
        <w:rPr>
          <w:rFonts w:ascii="PT Astra Serif" w:hAnsi="PT Astra Serif"/>
          <w:sz w:val="28"/>
          <w:szCs w:val="28"/>
        </w:rPr>
        <w:t>районах</w:t>
      </w:r>
      <w:proofErr w:type="gramEnd"/>
      <w:r>
        <w:rPr>
          <w:rFonts w:ascii="PT Astra Serif" w:hAnsi="PT Astra Serif"/>
          <w:sz w:val="28"/>
          <w:szCs w:val="28"/>
        </w:rPr>
        <w:t xml:space="preserve"> – 97,4 %</w:t>
      </w:r>
      <w:r w:rsidRPr="00DC71FE">
        <w:rPr>
          <w:rFonts w:ascii="PT Astra Serif" w:hAnsi="PT Astra Serif"/>
          <w:sz w:val="28"/>
          <w:szCs w:val="28"/>
        </w:rPr>
        <w:t>.</w:t>
      </w:r>
      <w:r w:rsidRPr="00DC71FE">
        <w:rPr>
          <w:rFonts w:ascii="PT Astra Serif" w:hAnsi="PT Astra Serif"/>
          <w:b/>
          <w:sz w:val="28"/>
          <w:szCs w:val="28"/>
        </w:rPr>
        <w:t xml:space="preserve"> </w:t>
      </w:r>
      <w:r w:rsidRPr="00DC71FE">
        <w:rPr>
          <w:rFonts w:ascii="PT Astra Serif" w:hAnsi="PT Astra Serif"/>
          <w:sz w:val="28"/>
          <w:szCs w:val="28"/>
        </w:rPr>
        <w:t>Наихудшая ситуация в</w:t>
      </w:r>
      <w:r w:rsidRPr="00DC71FE">
        <w:rPr>
          <w:rFonts w:ascii="PT Astra Serif" w:hAnsi="PT Astra Serif"/>
          <w:b/>
          <w:sz w:val="28"/>
          <w:szCs w:val="28"/>
        </w:rPr>
        <w:t> </w:t>
      </w:r>
      <w:r w:rsidRPr="00DC71FE">
        <w:rPr>
          <w:rFonts w:ascii="PT Astra Serif" w:hAnsi="PT Astra Serif"/>
          <w:sz w:val="28"/>
          <w:szCs w:val="28"/>
        </w:rPr>
        <w:t xml:space="preserve">Сурском районе – </w:t>
      </w:r>
      <w:r w:rsidR="00712B6E">
        <w:rPr>
          <w:rFonts w:ascii="PT Astra Serif" w:hAnsi="PT Astra Serif"/>
          <w:sz w:val="28"/>
          <w:szCs w:val="28"/>
        </w:rPr>
        <w:br/>
      </w:r>
      <w:r w:rsidRPr="00DC71FE">
        <w:rPr>
          <w:rFonts w:ascii="PT Astra Serif" w:hAnsi="PT Astra Serif"/>
          <w:sz w:val="28"/>
          <w:szCs w:val="28"/>
        </w:rPr>
        <w:t>44,2 %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CB4B6C" w:rsidRPr="0004239D" w:rsidRDefault="00CB4B6C" w:rsidP="00393095">
      <w:pPr>
        <w:spacing w:after="0" w:line="240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Самый</w:t>
      </w:r>
      <w:r w:rsidRPr="00AC21A6">
        <w:rPr>
          <w:rFonts w:ascii="PT Astra Serif" w:hAnsi="PT Astra Serif"/>
          <w:sz w:val="28"/>
          <w:szCs w:val="28"/>
        </w:rPr>
        <w:t xml:space="preserve"> высокий </w:t>
      </w:r>
      <w:r w:rsidRPr="00AC21A6">
        <w:rPr>
          <w:rFonts w:ascii="PT Astra Serif" w:hAnsi="PT Astra Serif"/>
          <w:b/>
          <w:sz w:val="28"/>
          <w:szCs w:val="28"/>
        </w:rPr>
        <w:t>объ</w:t>
      </w:r>
      <w:r>
        <w:rPr>
          <w:rFonts w:ascii="PT Astra Serif" w:hAnsi="PT Astra Serif"/>
          <w:b/>
          <w:sz w:val="28"/>
          <w:szCs w:val="28"/>
        </w:rPr>
        <w:t>ё</w:t>
      </w:r>
      <w:r w:rsidRPr="00AC21A6">
        <w:rPr>
          <w:rFonts w:ascii="PT Astra Serif" w:hAnsi="PT Astra Serif"/>
          <w:b/>
          <w:sz w:val="28"/>
          <w:szCs w:val="28"/>
        </w:rPr>
        <w:t>м отгруженных товаров собственного производства</w:t>
      </w:r>
      <w:r w:rsidRPr="00AC21A6">
        <w:rPr>
          <w:rFonts w:ascii="PT Astra Serif" w:hAnsi="PT Astra Serif"/>
          <w:sz w:val="28"/>
          <w:szCs w:val="28"/>
        </w:rPr>
        <w:t>, выполненных работ и услуг собственными силами (на душу населения) показывает Новоспасский</w:t>
      </w:r>
      <w:r w:rsidRPr="00AC21A6">
        <w:rPr>
          <w:rFonts w:ascii="PT Astra Serif" w:hAnsi="PT Astra Serif"/>
          <w:i/>
          <w:sz w:val="28"/>
          <w:szCs w:val="28"/>
        </w:rPr>
        <w:t xml:space="preserve"> </w:t>
      </w:r>
      <w:r w:rsidRPr="00AC21A6">
        <w:rPr>
          <w:rFonts w:ascii="PT Astra Serif" w:hAnsi="PT Astra Serif"/>
          <w:sz w:val="28"/>
          <w:szCs w:val="28"/>
        </w:rPr>
        <w:t xml:space="preserve">район – </w:t>
      </w:r>
      <w:r w:rsidRPr="00AC21A6">
        <w:rPr>
          <w:rFonts w:ascii="PT Astra Serif" w:hAnsi="PT Astra Serif" w:cs="Calibri"/>
          <w:sz w:val="28"/>
          <w:szCs w:val="28"/>
        </w:rPr>
        <w:t>1219540,9 руб.</w:t>
      </w:r>
      <w:r>
        <w:rPr>
          <w:rFonts w:ascii="PT Astra Serif" w:hAnsi="PT Astra Serif" w:cs="Calibri"/>
          <w:sz w:val="28"/>
          <w:szCs w:val="28"/>
        </w:rPr>
        <w:t>, наименьший объём зафиксирован в Павловским районе – 23710,1 руб.</w:t>
      </w:r>
      <w:proofErr w:type="gramEnd"/>
    </w:p>
    <w:p w:rsidR="00CB4B6C" w:rsidRPr="0004239D" w:rsidRDefault="00CB4B6C" w:rsidP="00393095">
      <w:pPr>
        <w:spacing w:after="0" w:line="240" w:lineRule="auto"/>
        <w:ind w:firstLine="36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CB1AAC">
        <w:rPr>
          <w:rFonts w:ascii="PT Astra Serif" w:hAnsi="PT Astra Serif"/>
          <w:sz w:val="28"/>
          <w:szCs w:val="28"/>
        </w:rPr>
        <w:t>По показателю «</w:t>
      </w:r>
      <w:r w:rsidRPr="00C87D0D">
        <w:rPr>
          <w:rFonts w:ascii="PT Astra Serif" w:hAnsi="PT Astra Serif"/>
          <w:b/>
          <w:sz w:val="28"/>
          <w:szCs w:val="28"/>
        </w:rPr>
        <w:t>Объём налоговых и неналоговых доходов бюджета</w:t>
      </w:r>
      <w:r w:rsidRPr="00CB1AAC">
        <w:rPr>
          <w:rFonts w:ascii="PT Astra Serif" w:hAnsi="PT Astra Serif"/>
          <w:sz w:val="28"/>
          <w:szCs w:val="28"/>
        </w:rPr>
        <w:t xml:space="preserve"> МО </w:t>
      </w:r>
      <w:r w:rsidR="007D4469">
        <w:rPr>
          <w:rFonts w:ascii="PT Astra Serif" w:hAnsi="PT Astra Serif"/>
          <w:sz w:val="28"/>
          <w:szCs w:val="28"/>
        </w:rPr>
        <w:br/>
      </w:r>
      <w:r w:rsidRPr="00CB1AAC">
        <w:rPr>
          <w:rFonts w:ascii="PT Astra Serif" w:hAnsi="PT Astra Serif"/>
          <w:sz w:val="28"/>
          <w:szCs w:val="28"/>
        </w:rPr>
        <w:t xml:space="preserve">за исключением доходов от оказания платных услуг (работ) и компенсации затрат государства (на душу населения)» </w:t>
      </w:r>
      <w:r w:rsidRPr="0004239D">
        <w:rPr>
          <w:rFonts w:ascii="PT Astra Serif" w:hAnsi="PT Astra Serif"/>
          <w:sz w:val="28"/>
          <w:szCs w:val="28"/>
        </w:rPr>
        <w:t xml:space="preserve">лучший результат показывает </w:t>
      </w:r>
      <w:r w:rsidR="007D446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г. Ульяновск</w:t>
      </w:r>
      <w:r w:rsidRPr="0004239D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 w:cs="Calibri"/>
          <w:color w:val="000000"/>
          <w:sz w:val="28"/>
          <w:szCs w:val="28"/>
        </w:rPr>
        <w:t>9582,8</w:t>
      </w:r>
      <w:r w:rsidRPr="0004239D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04239D">
        <w:rPr>
          <w:rFonts w:ascii="PT Astra Serif" w:hAnsi="PT Astra Serif"/>
          <w:sz w:val="28"/>
          <w:szCs w:val="28"/>
        </w:rPr>
        <w:t>руб</w:t>
      </w:r>
      <w:r>
        <w:rPr>
          <w:rFonts w:ascii="PT Astra Serif" w:hAnsi="PT Astra Serif"/>
          <w:sz w:val="28"/>
          <w:szCs w:val="28"/>
        </w:rPr>
        <w:t>.</w:t>
      </w:r>
      <w:r w:rsidRPr="0004239D">
        <w:rPr>
          <w:rFonts w:ascii="PT Astra Serif" w:hAnsi="PT Astra Serif"/>
          <w:sz w:val="28"/>
          <w:szCs w:val="28"/>
        </w:rPr>
        <w:t xml:space="preserve"> на душу населения. Последнее место </w:t>
      </w:r>
      <w:r w:rsidR="007D4469">
        <w:rPr>
          <w:rFonts w:ascii="PT Astra Serif" w:hAnsi="PT Astra Serif"/>
          <w:sz w:val="28"/>
          <w:szCs w:val="28"/>
        </w:rPr>
        <w:br/>
      </w:r>
      <w:r w:rsidRPr="0004239D">
        <w:rPr>
          <w:rFonts w:ascii="PT Astra Serif" w:hAnsi="PT Astra Serif"/>
          <w:sz w:val="28"/>
          <w:szCs w:val="28"/>
        </w:rPr>
        <w:t xml:space="preserve">у Старокулаткинского района – </w:t>
      </w:r>
      <w:r>
        <w:rPr>
          <w:rFonts w:ascii="PT Astra Serif" w:hAnsi="PT Astra Serif"/>
          <w:sz w:val="28"/>
          <w:szCs w:val="28"/>
        </w:rPr>
        <w:t>3952,9</w:t>
      </w:r>
      <w:r w:rsidRPr="0004239D">
        <w:rPr>
          <w:rFonts w:ascii="PT Astra Serif" w:hAnsi="PT Astra Serif"/>
          <w:sz w:val="28"/>
          <w:szCs w:val="28"/>
        </w:rPr>
        <w:t xml:space="preserve"> руб</w:t>
      </w:r>
      <w:r>
        <w:rPr>
          <w:rFonts w:ascii="PT Astra Serif" w:hAnsi="PT Astra Serif"/>
          <w:sz w:val="28"/>
          <w:szCs w:val="28"/>
        </w:rPr>
        <w:t>.</w:t>
      </w:r>
      <w:r w:rsidRPr="0004239D">
        <w:rPr>
          <w:rFonts w:ascii="PT Astra Serif" w:hAnsi="PT Astra Serif"/>
          <w:sz w:val="28"/>
          <w:szCs w:val="28"/>
        </w:rPr>
        <w:t xml:space="preserve"> на душу населения.</w:t>
      </w:r>
    </w:p>
    <w:p w:rsidR="00CB4B6C" w:rsidRPr="00C87D0D" w:rsidRDefault="00CB4B6C" w:rsidP="00393095">
      <w:pPr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04239D">
        <w:rPr>
          <w:rFonts w:ascii="PT Astra Serif" w:hAnsi="PT Astra Serif"/>
          <w:b/>
          <w:sz w:val="28"/>
          <w:szCs w:val="28"/>
        </w:rPr>
        <w:t xml:space="preserve">3. </w:t>
      </w:r>
      <w:r w:rsidRPr="00C87D0D">
        <w:rPr>
          <w:rFonts w:ascii="PT Astra Serif" w:hAnsi="PT Astra Serif"/>
          <w:b/>
          <w:sz w:val="28"/>
          <w:szCs w:val="28"/>
          <w:u w:val="single"/>
        </w:rPr>
        <w:t>Блок «Денежные доходы населения»:</w:t>
      </w:r>
    </w:p>
    <w:p w:rsidR="00CB4B6C" w:rsidRPr="00CB1AAC" w:rsidRDefault="00CB4B6C" w:rsidP="0039309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1AAC">
        <w:rPr>
          <w:rFonts w:ascii="PT Astra Serif" w:hAnsi="PT Astra Serif"/>
          <w:sz w:val="28"/>
          <w:szCs w:val="28"/>
        </w:rPr>
        <w:t xml:space="preserve">Рост </w:t>
      </w:r>
      <w:r w:rsidRPr="00C87D0D">
        <w:rPr>
          <w:rFonts w:ascii="PT Astra Serif" w:hAnsi="PT Astra Serif"/>
          <w:b/>
          <w:sz w:val="28"/>
          <w:szCs w:val="28"/>
        </w:rPr>
        <w:t>среднемесячной начисленной заработной платы</w:t>
      </w:r>
      <w:r w:rsidRPr="00CB1AAC">
        <w:rPr>
          <w:rFonts w:ascii="PT Astra Serif" w:hAnsi="PT Astra Serif"/>
          <w:sz w:val="28"/>
          <w:szCs w:val="28"/>
        </w:rPr>
        <w:t xml:space="preserve"> (по крупным </w:t>
      </w:r>
      <w:r w:rsidR="00712B6E">
        <w:rPr>
          <w:rFonts w:ascii="PT Astra Serif" w:hAnsi="PT Astra Serif"/>
          <w:sz w:val="28"/>
          <w:szCs w:val="28"/>
        </w:rPr>
        <w:br/>
      </w:r>
      <w:r w:rsidRPr="00CB1AAC">
        <w:rPr>
          <w:rFonts w:ascii="PT Astra Serif" w:hAnsi="PT Astra Serif"/>
          <w:sz w:val="28"/>
          <w:szCs w:val="28"/>
        </w:rPr>
        <w:t>и средним предприятиям) зафиксирован</w:t>
      </w:r>
      <w:r w:rsidRPr="00CB1AAC">
        <w:rPr>
          <w:rFonts w:ascii="PT Astra Serif" w:hAnsi="PT Astra Serif"/>
          <w:b/>
          <w:sz w:val="28"/>
          <w:szCs w:val="28"/>
        </w:rPr>
        <w:t xml:space="preserve"> </w:t>
      </w:r>
      <w:r w:rsidRPr="0004239D">
        <w:rPr>
          <w:rFonts w:ascii="PT Astra Serif" w:hAnsi="PT Astra Serif"/>
          <w:sz w:val="28"/>
          <w:szCs w:val="28"/>
        </w:rPr>
        <w:t xml:space="preserve">во всех муниципальных образованиях Ульяновской области. Наибольший </w:t>
      </w:r>
      <w:r>
        <w:rPr>
          <w:rFonts w:ascii="PT Astra Serif" w:hAnsi="PT Astra Serif"/>
          <w:sz w:val="28"/>
          <w:szCs w:val="28"/>
        </w:rPr>
        <w:t>рост отмечен в г. Димитровград - 112,3</w:t>
      </w:r>
      <w:r w:rsidRPr="0004239D">
        <w:rPr>
          <w:rFonts w:ascii="PT Astra Serif" w:hAnsi="PT Astra Serif"/>
          <w:sz w:val="28"/>
          <w:szCs w:val="28"/>
        </w:rPr>
        <w:t xml:space="preserve"> %</w:t>
      </w:r>
      <w:r>
        <w:rPr>
          <w:rFonts w:ascii="PT Astra Serif" w:hAnsi="PT Astra Serif"/>
          <w:sz w:val="28"/>
          <w:szCs w:val="28"/>
        </w:rPr>
        <w:t>.</w:t>
      </w:r>
    </w:p>
    <w:p w:rsidR="00CB4B6C" w:rsidRDefault="00CB4B6C" w:rsidP="0039309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7D0D">
        <w:rPr>
          <w:rFonts w:ascii="PT Astra Serif" w:hAnsi="PT Astra Serif"/>
          <w:sz w:val="28"/>
          <w:szCs w:val="28"/>
        </w:rPr>
        <w:t>В</w:t>
      </w:r>
      <w:r w:rsidRPr="00CB1AAC">
        <w:rPr>
          <w:rFonts w:ascii="PT Astra Serif" w:hAnsi="PT Astra Serif"/>
          <w:b/>
          <w:sz w:val="28"/>
          <w:szCs w:val="28"/>
        </w:rPr>
        <w:t xml:space="preserve"> </w:t>
      </w:r>
      <w:r w:rsidRPr="0004239D">
        <w:rPr>
          <w:rFonts w:ascii="PT Astra Serif" w:hAnsi="PT Astra Serif"/>
          <w:sz w:val="28"/>
          <w:szCs w:val="28"/>
        </w:rPr>
        <w:t>21 муниципалитет</w:t>
      </w:r>
      <w:r>
        <w:rPr>
          <w:rFonts w:ascii="PT Astra Serif" w:hAnsi="PT Astra Serif"/>
          <w:sz w:val="28"/>
          <w:szCs w:val="28"/>
        </w:rPr>
        <w:t>е</w:t>
      </w:r>
      <w:r w:rsidRPr="0004239D">
        <w:rPr>
          <w:rFonts w:ascii="PT Astra Serif" w:hAnsi="PT Astra Serif"/>
          <w:sz w:val="28"/>
          <w:szCs w:val="28"/>
        </w:rPr>
        <w:t xml:space="preserve"> наблюдается положительная динамика по </w:t>
      </w:r>
      <w:r w:rsidRPr="00C87D0D">
        <w:rPr>
          <w:rFonts w:ascii="PT Astra Serif" w:hAnsi="PT Astra Serif"/>
          <w:b/>
          <w:sz w:val="28"/>
          <w:szCs w:val="28"/>
        </w:rPr>
        <w:t>поступлению </w:t>
      </w:r>
      <w:proofErr w:type="spellStart"/>
      <w:r w:rsidRPr="00C87D0D">
        <w:rPr>
          <w:rFonts w:ascii="PT Astra Serif" w:hAnsi="PT Astra Serif"/>
          <w:b/>
          <w:sz w:val="28"/>
          <w:szCs w:val="28"/>
        </w:rPr>
        <w:t>НДФЛ</w:t>
      </w:r>
      <w:proofErr w:type="spellEnd"/>
      <w:r w:rsidRPr="0004239D">
        <w:rPr>
          <w:rFonts w:ascii="PT Astra Serif" w:hAnsi="PT Astra Serif"/>
          <w:sz w:val="28"/>
          <w:szCs w:val="28"/>
        </w:rPr>
        <w:t xml:space="preserve"> в бюджет муниципального образования.</w:t>
      </w:r>
      <w:r w:rsidRPr="00CB1AAC">
        <w:rPr>
          <w:rFonts w:ascii="PT Astra Serif" w:hAnsi="PT Astra Serif"/>
          <w:sz w:val="28"/>
          <w:szCs w:val="28"/>
        </w:rPr>
        <w:t xml:space="preserve"> </w:t>
      </w:r>
      <w:r w:rsidRPr="0004239D">
        <w:rPr>
          <w:rFonts w:ascii="PT Astra Serif" w:hAnsi="PT Astra Serif"/>
          <w:sz w:val="28"/>
          <w:szCs w:val="28"/>
        </w:rPr>
        <w:t xml:space="preserve">Лидирует по данному показателю </w:t>
      </w:r>
      <w:r>
        <w:rPr>
          <w:rFonts w:ascii="PT Astra Serif" w:hAnsi="PT Astra Serif"/>
          <w:sz w:val="28"/>
          <w:szCs w:val="28"/>
        </w:rPr>
        <w:t>Сенгилеевский</w:t>
      </w:r>
      <w:r w:rsidRPr="0004239D">
        <w:rPr>
          <w:rFonts w:ascii="PT Astra Serif" w:hAnsi="PT Astra Serif"/>
          <w:sz w:val="28"/>
          <w:szCs w:val="28"/>
        </w:rPr>
        <w:t xml:space="preserve"> район – </w:t>
      </w:r>
      <w:r>
        <w:rPr>
          <w:rFonts w:ascii="PT Astra Serif" w:hAnsi="PT Astra Serif"/>
          <w:sz w:val="28"/>
          <w:szCs w:val="28"/>
        </w:rPr>
        <w:t xml:space="preserve">126 %, в числе </w:t>
      </w:r>
      <w:proofErr w:type="gramStart"/>
      <w:r>
        <w:rPr>
          <w:rFonts w:ascii="PT Astra Serif" w:hAnsi="PT Astra Serif"/>
          <w:sz w:val="28"/>
          <w:szCs w:val="28"/>
        </w:rPr>
        <w:t>отстающих</w:t>
      </w:r>
      <w:proofErr w:type="gramEnd"/>
      <w:r>
        <w:rPr>
          <w:rFonts w:ascii="PT Astra Serif" w:hAnsi="PT Astra Serif"/>
          <w:sz w:val="28"/>
          <w:szCs w:val="28"/>
        </w:rPr>
        <w:t xml:space="preserve"> – Старокулаткинский (96,4 %) и Новомалыклинский (96,2 %) районы.</w:t>
      </w:r>
      <w:r w:rsidRPr="00CB1AAC">
        <w:rPr>
          <w:rFonts w:ascii="PT Astra Serif" w:hAnsi="PT Astra Serif"/>
          <w:sz w:val="28"/>
          <w:szCs w:val="28"/>
        </w:rPr>
        <w:t xml:space="preserve"> </w:t>
      </w:r>
    </w:p>
    <w:p w:rsidR="00CB4B6C" w:rsidRDefault="00CB4B6C" w:rsidP="0039309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1AAC">
        <w:rPr>
          <w:rFonts w:ascii="PT Astra Serif" w:hAnsi="PT Astra Serif"/>
          <w:sz w:val="28"/>
          <w:szCs w:val="28"/>
        </w:rPr>
        <w:t xml:space="preserve">План по </w:t>
      </w:r>
      <w:r w:rsidRPr="00204CA4">
        <w:rPr>
          <w:rFonts w:ascii="PT Astra Serif" w:hAnsi="PT Astra Serif"/>
          <w:b/>
          <w:sz w:val="28"/>
          <w:szCs w:val="28"/>
        </w:rPr>
        <w:t>снижению неформальной занятости</w:t>
      </w:r>
      <w:r>
        <w:rPr>
          <w:rFonts w:ascii="PT Astra Serif" w:hAnsi="PT Astra Serif"/>
          <w:sz w:val="28"/>
          <w:szCs w:val="28"/>
        </w:rPr>
        <w:t xml:space="preserve"> выполнен</w:t>
      </w:r>
      <w:r w:rsidRPr="00CB1AAC">
        <w:rPr>
          <w:rFonts w:ascii="PT Astra Serif" w:hAnsi="PT Astra Serif"/>
          <w:sz w:val="28"/>
          <w:szCs w:val="28"/>
        </w:rPr>
        <w:t xml:space="preserve"> во всех муниципальных образованиях. </w:t>
      </w:r>
    </w:p>
    <w:p w:rsidR="008167FA" w:rsidRPr="00CB1AAC" w:rsidRDefault="008167FA" w:rsidP="00393095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</w:p>
    <w:p w:rsidR="00CB4B6C" w:rsidRPr="00C87D0D" w:rsidRDefault="00CB4B6C" w:rsidP="0039309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04239D">
        <w:rPr>
          <w:rFonts w:ascii="PT Astra Serif" w:hAnsi="PT Astra Serif"/>
          <w:b/>
          <w:sz w:val="28"/>
          <w:szCs w:val="28"/>
        </w:rPr>
        <w:t xml:space="preserve">4. </w:t>
      </w:r>
      <w:r w:rsidRPr="00C87D0D">
        <w:rPr>
          <w:rFonts w:ascii="PT Astra Serif" w:hAnsi="PT Astra Serif"/>
          <w:b/>
          <w:sz w:val="28"/>
          <w:szCs w:val="28"/>
          <w:u w:val="single"/>
        </w:rPr>
        <w:t>Блок «Социальная сфера»</w:t>
      </w:r>
    </w:p>
    <w:p w:rsidR="00CB4B6C" w:rsidRPr="0004239D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39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10 </w:t>
      </w:r>
      <w:r w:rsidRPr="0004239D">
        <w:rPr>
          <w:rFonts w:ascii="PT Astra Serif" w:hAnsi="PT Astra Serif"/>
          <w:sz w:val="28"/>
          <w:szCs w:val="28"/>
        </w:rPr>
        <w:t xml:space="preserve">муниципальных образованиях наблюдается рост </w:t>
      </w:r>
      <w:r w:rsidRPr="00C87D0D">
        <w:rPr>
          <w:rFonts w:ascii="PT Astra Serif" w:hAnsi="PT Astra Serif"/>
          <w:b/>
          <w:sz w:val="28"/>
          <w:szCs w:val="28"/>
        </w:rPr>
        <w:t>рождаемости</w:t>
      </w:r>
      <w:r w:rsidRPr="0004239D">
        <w:rPr>
          <w:rFonts w:ascii="PT Astra Serif" w:hAnsi="PT Astra Serif"/>
          <w:sz w:val="28"/>
          <w:szCs w:val="28"/>
        </w:rPr>
        <w:t xml:space="preserve">, самые высокие темпы в Кузоватовском районе – </w:t>
      </w:r>
      <w:r>
        <w:rPr>
          <w:rFonts w:ascii="PT Astra Serif" w:hAnsi="PT Astra Serif"/>
          <w:sz w:val="28"/>
          <w:szCs w:val="28"/>
        </w:rPr>
        <w:t xml:space="preserve">125,5 </w:t>
      </w:r>
      <w:r w:rsidRPr="0004239D">
        <w:rPr>
          <w:rFonts w:ascii="PT Astra Serif" w:hAnsi="PT Astra Serif"/>
          <w:sz w:val="28"/>
          <w:szCs w:val="28"/>
        </w:rPr>
        <w:t xml:space="preserve">% и </w:t>
      </w:r>
      <w:r>
        <w:rPr>
          <w:rFonts w:ascii="PT Astra Serif" w:hAnsi="PT Astra Serif"/>
          <w:sz w:val="28"/>
          <w:szCs w:val="28"/>
        </w:rPr>
        <w:t xml:space="preserve">Ульяновском </w:t>
      </w:r>
      <w:r w:rsidRPr="0004239D">
        <w:rPr>
          <w:rFonts w:ascii="PT Astra Serif" w:hAnsi="PT Astra Serif"/>
          <w:sz w:val="28"/>
          <w:szCs w:val="28"/>
        </w:rPr>
        <w:t xml:space="preserve">районе – </w:t>
      </w:r>
      <w:r>
        <w:rPr>
          <w:rFonts w:ascii="PT Astra Serif" w:hAnsi="PT Astra Serif"/>
          <w:sz w:val="28"/>
          <w:szCs w:val="28"/>
        </w:rPr>
        <w:t xml:space="preserve">110,9 </w:t>
      </w:r>
      <w:r w:rsidRPr="0004239D">
        <w:rPr>
          <w:rFonts w:ascii="PT Astra Serif" w:hAnsi="PT Astra Serif"/>
          <w:sz w:val="28"/>
          <w:szCs w:val="28"/>
        </w:rPr>
        <w:t>%. Сам</w:t>
      </w:r>
      <w:r>
        <w:rPr>
          <w:rFonts w:ascii="PT Astra Serif" w:hAnsi="PT Astra Serif"/>
          <w:sz w:val="28"/>
          <w:szCs w:val="28"/>
        </w:rPr>
        <w:t>ы</w:t>
      </w:r>
      <w:r w:rsidRPr="0004239D">
        <w:rPr>
          <w:rFonts w:ascii="PT Astra Serif" w:hAnsi="PT Astra Serif"/>
          <w:sz w:val="28"/>
          <w:szCs w:val="28"/>
        </w:rPr>
        <w:t xml:space="preserve">е </w:t>
      </w:r>
      <w:r>
        <w:rPr>
          <w:rFonts w:ascii="PT Astra Serif" w:hAnsi="PT Astra Serif"/>
          <w:sz w:val="28"/>
          <w:szCs w:val="28"/>
        </w:rPr>
        <w:t>низкие</w:t>
      </w:r>
      <w:r w:rsidRPr="0004239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темпы</w:t>
      </w:r>
      <w:r w:rsidRPr="0004239D">
        <w:rPr>
          <w:rFonts w:ascii="PT Astra Serif" w:hAnsi="PT Astra Serif"/>
          <w:sz w:val="28"/>
          <w:szCs w:val="28"/>
        </w:rPr>
        <w:t xml:space="preserve"> рождаемости отмеча</w:t>
      </w:r>
      <w:r>
        <w:rPr>
          <w:rFonts w:ascii="PT Astra Serif" w:hAnsi="PT Astra Serif"/>
          <w:sz w:val="28"/>
          <w:szCs w:val="28"/>
        </w:rPr>
        <w:t>ю</w:t>
      </w:r>
      <w:r w:rsidRPr="0004239D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Вешкаймском</w:t>
      </w:r>
      <w:r w:rsidRPr="0004239D">
        <w:rPr>
          <w:rFonts w:ascii="PT Astra Serif" w:hAnsi="PT Astra Serif"/>
          <w:sz w:val="28"/>
          <w:szCs w:val="28"/>
        </w:rPr>
        <w:t xml:space="preserve"> районе – </w:t>
      </w:r>
      <w:r>
        <w:rPr>
          <w:rFonts w:ascii="PT Astra Serif" w:hAnsi="PT Astra Serif"/>
          <w:sz w:val="28"/>
          <w:szCs w:val="28"/>
        </w:rPr>
        <w:t xml:space="preserve">59,8 </w:t>
      </w:r>
      <w:r w:rsidRPr="0004239D">
        <w:rPr>
          <w:rFonts w:ascii="PT Astra Serif" w:hAnsi="PT Astra Serif"/>
          <w:sz w:val="28"/>
          <w:szCs w:val="28"/>
        </w:rPr>
        <w:t xml:space="preserve">% и </w:t>
      </w:r>
      <w:r>
        <w:rPr>
          <w:rFonts w:ascii="PT Astra Serif" w:hAnsi="PT Astra Serif"/>
          <w:sz w:val="28"/>
          <w:szCs w:val="28"/>
        </w:rPr>
        <w:t>Базарносызганском</w:t>
      </w:r>
      <w:r w:rsidRPr="0004239D">
        <w:rPr>
          <w:rFonts w:ascii="PT Astra Serif" w:hAnsi="PT Astra Serif"/>
          <w:sz w:val="28"/>
          <w:szCs w:val="28"/>
        </w:rPr>
        <w:t xml:space="preserve"> районе – </w:t>
      </w:r>
      <w:r>
        <w:rPr>
          <w:rFonts w:ascii="PT Astra Serif" w:hAnsi="PT Astra Serif"/>
          <w:sz w:val="28"/>
          <w:szCs w:val="28"/>
        </w:rPr>
        <w:t xml:space="preserve">68,6 </w:t>
      </w:r>
      <w:r w:rsidRPr="0004239D">
        <w:rPr>
          <w:rFonts w:ascii="PT Astra Serif" w:hAnsi="PT Astra Serif"/>
          <w:sz w:val="28"/>
          <w:szCs w:val="28"/>
        </w:rPr>
        <w:t>%.</w:t>
      </w:r>
    </w:p>
    <w:p w:rsidR="00CB4B6C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39D">
        <w:rPr>
          <w:rFonts w:ascii="PT Astra Serif" w:hAnsi="PT Astra Serif"/>
          <w:sz w:val="28"/>
          <w:szCs w:val="28"/>
        </w:rPr>
        <w:t xml:space="preserve">Рост </w:t>
      </w:r>
      <w:r w:rsidRPr="00C87D0D">
        <w:rPr>
          <w:rFonts w:ascii="PT Astra Serif" w:hAnsi="PT Astra Serif"/>
          <w:b/>
          <w:sz w:val="28"/>
          <w:szCs w:val="28"/>
        </w:rPr>
        <w:t>смертности</w:t>
      </w:r>
      <w:r w:rsidRPr="0004239D">
        <w:rPr>
          <w:rFonts w:ascii="PT Astra Serif" w:hAnsi="PT Astra Serif"/>
          <w:sz w:val="28"/>
          <w:szCs w:val="28"/>
        </w:rPr>
        <w:t xml:space="preserve"> наблюдается в 2</w:t>
      </w:r>
      <w:r>
        <w:rPr>
          <w:rFonts w:ascii="PT Astra Serif" w:hAnsi="PT Astra Serif"/>
          <w:sz w:val="28"/>
          <w:szCs w:val="28"/>
        </w:rPr>
        <w:t>3</w:t>
      </w:r>
      <w:r w:rsidRPr="0004239D">
        <w:rPr>
          <w:rFonts w:ascii="PT Astra Serif" w:hAnsi="PT Astra Serif"/>
          <w:sz w:val="28"/>
          <w:szCs w:val="28"/>
        </w:rPr>
        <w:t xml:space="preserve"> муниципалитетах, наибольший рост произошёл </w:t>
      </w:r>
      <w:proofErr w:type="gramStart"/>
      <w:r w:rsidRPr="0004239D">
        <w:rPr>
          <w:rFonts w:ascii="PT Astra Serif" w:hAnsi="PT Astra Serif"/>
          <w:sz w:val="28"/>
          <w:szCs w:val="28"/>
        </w:rPr>
        <w:t>в</w:t>
      </w:r>
      <w:proofErr w:type="gramEnd"/>
      <w:r w:rsidRPr="0004239D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Павловском</w:t>
      </w:r>
      <w:proofErr w:type="gramEnd"/>
      <w:r w:rsidRPr="0004239D">
        <w:rPr>
          <w:rFonts w:ascii="PT Astra Serif" w:hAnsi="PT Astra Serif"/>
          <w:sz w:val="28"/>
          <w:szCs w:val="28"/>
        </w:rPr>
        <w:t xml:space="preserve"> и Инзенском районах – </w:t>
      </w:r>
      <w:r>
        <w:rPr>
          <w:rFonts w:ascii="PT Astra Serif" w:hAnsi="PT Astra Serif"/>
          <w:sz w:val="28"/>
          <w:szCs w:val="28"/>
        </w:rPr>
        <w:t>139,1 % и 140,6 %</w:t>
      </w:r>
      <w:r w:rsidRPr="0004239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соответственно.  Единственное муниципальное образование, в котором зафиксировано сокращение смертности - Новомалыклинский район – 95,9 %. </w:t>
      </w:r>
    </w:p>
    <w:p w:rsidR="00CB4B6C" w:rsidRDefault="00CB4B6C" w:rsidP="0039309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2021 году</w:t>
      </w:r>
      <w:r w:rsidRPr="00D53655">
        <w:rPr>
          <w:rFonts w:ascii="PT Astra Serif" w:hAnsi="PT Astra Serif"/>
          <w:sz w:val="28"/>
          <w:szCs w:val="28"/>
        </w:rPr>
        <w:t xml:space="preserve"> </w:t>
      </w:r>
      <w:r w:rsidRPr="00D53655">
        <w:rPr>
          <w:rFonts w:ascii="PT Astra Serif" w:hAnsi="PT Astra Serif"/>
          <w:b/>
          <w:sz w:val="28"/>
          <w:szCs w:val="28"/>
        </w:rPr>
        <w:t>число смертельных случаев от ДТП</w:t>
      </w:r>
      <w:r w:rsidRPr="00D536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D53655">
        <w:rPr>
          <w:rFonts w:ascii="PT Astra Serif" w:hAnsi="PT Astra Serif"/>
          <w:sz w:val="28"/>
          <w:szCs w:val="28"/>
        </w:rPr>
        <w:t>в Ульяновской области сократилось на 23 человека относительно уровня прошлого года.</w:t>
      </w:r>
      <w:r w:rsidRPr="0004239D">
        <w:rPr>
          <w:rFonts w:ascii="PT Astra Serif" w:hAnsi="PT Astra Serif"/>
          <w:sz w:val="28"/>
          <w:szCs w:val="28"/>
        </w:rPr>
        <w:t xml:space="preserve"> </w:t>
      </w:r>
      <w:r w:rsidRPr="009F795A">
        <w:rPr>
          <w:rFonts w:ascii="PT Astra Serif" w:hAnsi="PT Astra Serif"/>
          <w:sz w:val="28"/>
          <w:szCs w:val="28"/>
        </w:rPr>
        <w:t>На последнем месте по смертности от</w:t>
      </w:r>
      <w:r>
        <w:rPr>
          <w:rFonts w:ascii="PT Astra Serif" w:hAnsi="PT Astra Serif"/>
          <w:sz w:val="28"/>
          <w:szCs w:val="28"/>
        </w:rPr>
        <w:t xml:space="preserve"> ДТП оказался Радищевский район</w:t>
      </w:r>
      <w:r w:rsidRPr="009F79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9F79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50</w:t>
      </w:r>
      <w:r w:rsidRPr="009F795A">
        <w:rPr>
          <w:rFonts w:ascii="PT Astra Serif" w:hAnsi="PT Astra Serif"/>
          <w:sz w:val="28"/>
          <w:szCs w:val="28"/>
        </w:rPr>
        <w:t xml:space="preserve"> смертельных случаев</w:t>
      </w:r>
      <w:r w:rsidRPr="007A3853">
        <w:rPr>
          <w:rFonts w:ascii="PT Astra Serif" w:hAnsi="PT Astra Serif"/>
          <w:sz w:val="28"/>
          <w:szCs w:val="28"/>
        </w:rPr>
        <w:t xml:space="preserve"> </w:t>
      </w:r>
      <w:r w:rsidRPr="009F795A">
        <w:rPr>
          <w:rFonts w:ascii="PT Astra Serif" w:hAnsi="PT Astra Serif"/>
          <w:sz w:val="28"/>
          <w:szCs w:val="28"/>
        </w:rPr>
        <w:t>на 100 тыс. населения.</w:t>
      </w:r>
      <w:r w:rsidRPr="0004239D">
        <w:rPr>
          <w:rFonts w:ascii="PT Astra Serif" w:hAnsi="PT Astra Serif"/>
          <w:sz w:val="28"/>
          <w:szCs w:val="28"/>
        </w:rPr>
        <w:t xml:space="preserve"> Смертность от ДТП отсутствует на дорогах </w:t>
      </w:r>
      <w:r>
        <w:rPr>
          <w:rFonts w:ascii="PT Astra Serif" w:hAnsi="PT Astra Serif"/>
          <w:sz w:val="28"/>
          <w:szCs w:val="28"/>
        </w:rPr>
        <w:t>5</w:t>
      </w:r>
      <w:r w:rsidRPr="0004239D">
        <w:rPr>
          <w:rFonts w:ascii="PT Astra Serif" w:hAnsi="PT Astra Serif"/>
          <w:sz w:val="28"/>
          <w:szCs w:val="28"/>
        </w:rPr>
        <w:t xml:space="preserve"> муниципалитетов:</w:t>
      </w:r>
      <w:r w:rsidRPr="00CB1A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4239D">
        <w:rPr>
          <w:rFonts w:ascii="PT Astra Serif" w:hAnsi="PT Astra Serif"/>
          <w:sz w:val="28"/>
          <w:szCs w:val="28"/>
        </w:rPr>
        <w:t>Базарносызганского</w:t>
      </w:r>
      <w:proofErr w:type="spellEnd"/>
      <w:r w:rsidRPr="0004239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4239D">
        <w:rPr>
          <w:rFonts w:ascii="PT Astra Serif" w:hAnsi="PT Astra Serif"/>
          <w:sz w:val="28"/>
          <w:szCs w:val="28"/>
        </w:rPr>
        <w:t>Инзенского</w:t>
      </w:r>
      <w:proofErr w:type="spellEnd"/>
      <w:r w:rsidRPr="0004239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4239D">
        <w:rPr>
          <w:rFonts w:ascii="PT Astra Serif" w:hAnsi="PT Astra Serif"/>
          <w:sz w:val="28"/>
          <w:szCs w:val="28"/>
        </w:rPr>
        <w:t>Барышского</w:t>
      </w:r>
      <w:proofErr w:type="spellEnd"/>
      <w:r w:rsidRPr="0004239D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Старокулаткинского районов </w:t>
      </w:r>
      <w:r>
        <w:rPr>
          <w:rFonts w:ascii="PT Astra Serif" w:hAnsi="PT Astra Serif"/>
          <w:sz w:val="28"/>
          <w:szCs w:val="28"/>
        </w:rPr>
        <w:br/>
        <w:t>и г.</w:t>
      </w:r>
      <w:r w:rsidRPr="0004239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4239D">
        <w:rPr>
          <w:rFonts w:ascii="PT Astra Serif" w:hAnsi="PT Astra Serif"/>
          <w:sz w:val="28"/>
          <w:szCs w:val="28"/>
        </w:rPr>
        <w:t>Новоульяновск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04239D">
        <w:rPr>
          <w:rFonts w:ascii="PT Astra Serif" w:hAnsi="PT Astra Serif"/>
          <w:sz w:val="28"/>
          <w:szCs w:val="28"/>
        </w:rPr>
        <w:t>.</w:t>
      </w:r>
    </w:p>
    <w:p w:rsidR="00CB4B6C" w:rsidRPr="00C87D0D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C87D0D">
        <w:rPr>
          <w:rFonts w:ascii="PT Astra Serif" w:hAnsi="PT Astra Serif"/>
          <w:b/>
          <w:sz w:val="28"/>
          <w:szCs w:val="28"/>
          <w:u w:val="single"/>
        </w:rPr>
        <w:t>5. Блок «Развитие сельского хозяйства»</w:t>
      </w:r>
    </w:p>
    <w:p w:rsidR="00CB4B6C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39D">
        <w:rPr>
          <w:rFonts w:ascii="PT Astra Serif" w:hAnsi="PT Astra Serif"/>
          <w:sz w:val="28"/>
          <w:szCs w:val="28"/>
        </w:rPr>
        <w:t xml:space="preserve">Старомайнский район показывает самые низкие темпы роста </w:t>
      </w:r>
      <w:r w:rsidRPr="00C87D0D">
        <w:rPr>
          <w:rFonts w:ascii="PT Astra Serif" w:hAnsi="PT Astra Serif"/>
          <w:b/>
          <w:sz w:val="28"/>
          <w:szCs w:val="28"/>
        </w:rPr>
        <w:t>поголовья всех видов сельскохозяйственных животных</w:t>
      </w:r>
      <w:r w:rsidRPr="0004239D">
        <w:rPr>
          <w:rFonts w:ascii="PT Astra Serif" w:hAnsi="PT Astra Serif"/>
          <w:sz w:val="28"/>
          <w:szCs w:val="28"/>
        </w:rPr>
        <w:t xml:space="preserve"> в пересчёте на условное поголовье (</w:t>
      </w:r>
      <w:r>
        <w:rPr>
          <w:rFonts w:ascii="PT Astra Serif" w:hAnsi="PT Astra Serif"/>
          <w:sz w:val="28"/>
          <w:szCs w:val="28"/>
        </w:rPr>
        <w:t xml:space="preserve">62,2 </w:t>
      </w:r>
      <w:r w:rsidRPr="0004239D">
        <w:rPr>
          <w:rFonts w:ascii="PT Astra Serif" w:hAnsi="PT Astra Serif"/>
          <w:sz w:val="28"/>
          <w:szCs w:val="28"/>
        </w:rPr>
        <w:t>%).</w:t>
      </w:r>
      <w:r>
        <w:rPr>
          <w:rFonts w:ascii="PT Astra Serif" w:hAnsi="PT Astra Serif"/>
          <w:sz w:val="28"/>
          <w:szCs w:val="28"/>
        </w:rPr>
        <w:t xml:space="preserve"> Самый высокий темп роста имеет Карсунский район (116,4 %).</w:t>
      </w:r>
    </w:p>
    <w:p w:rsidR="00CB4B6C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39D">
        <w:rPr>
          <w:rFonts w:ascii="PT Astra Serif" w:hAnsi="PT Astra Serif"/>
          <w:sz w:val="28"/>
          <w:szCs w:val="28"/>
        </w:rPr>
        <w:t xml:space="preserve">По </w:t>
      </w:r>
      <w:r w:rsidRPr="00C87D0D">
        <w:rPr>
          <w:rFonts w:ascii="PT Astra Serif" w:hAnsi="PT Astra Serif"/>
          <w:b/>
          <w:sz w:val="28"/>
          <w:szCs w:val="28"/>
        </w:rPr>
        <w:t>реализации скота и птицы</w:t>
      </w:r>
      <w:r w:rsidRPr="0004239D">
        <w:rPr>
          <w:rFonts w:ascii="PT Astra Serif" w:hAnsi="PT Astra Serif"/>
          <w:sz w:val="28"/>
          <w:szCs w:val="28"/>
        </w:rPr>
        <w:t xml:space="preserve"> лидируют </w:t>
      </w:r>
      <w:proofErr w:type="gramStart"/>
      <w:r>
        <w:rPr>
          <w:rFonts w:ascii="PT Astra Serif" w:hAnsi="PT Astra Serif"/>
          <w:sz w:val="28"/>
          <w:szCs w:val="28"/>
        </w:rPr>
        <w:t>Николаевский</w:t>
      </w:r>
      <w:proofErr w:type="gramEnd"/>
      <w:r w:rsidRPr="0004239D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215,7 </w:t>
      </w:r>
      <w:r w:rsidRPr="0004239D">
        <w:rPr>
          <w:rFonts w:ascii="PT Astra Serif" w:hAnsi="PT Astra Serif"/>
          <w:sz w:val="28"/>
          <w:szCs w:val="28"/>
        </w:rPr>
        <w:t xml:space="preserve">% 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 w:rsidRPr="0004239D">
        <w:rPr>
          <w:rFonts w:ascii="PT Astra Serif" w:hAnsi="PT Astra Serif"/>
          <w:sz w:val="28"/>
          <w:szCs w:val="28"/>
        </w:rPr>
        <w:t xml:space="preserve">Старомайнский – </w:t>
      </w:r>
      <w:r>
        <w:rPr>
          <w:rFonts w:ascii="PT Astra Serif" w:hAnsi="PT Astra Serif"/>
          <w:sz w:val="28"/>
          <w:szCs w:val="28"/>
        </w:rPr>
        <w:t xml:space="preserve">207 </w:t>
      </w:r>
      <w:r w:rsidRPr="0004239D">
        <w:rPr>
          <w:rFonts w:ascii="PT Astra Serif" w:hAnsi="PT Astra Serif"/>
          <w:sz w:val="28"/>
          <w:szCs w:val="28"/>
        </w:rPr>
        <w:t>% районы.</w:t>
      </w:r>
      <w:r>
        <w:rPr>
          <w:rFonts w:ascii="PT Astra Serif" w:hAnsi="PT Astra Serif"/>
          <w:sz w:val="28"/>
          <w:szCs w:val="28"/>
        </w:rPr>
        <w:t xml:space="preserve"> Низкие значения показателя установлены </w:t>
      </w:r>
      <w:r>
        <w:rPr>
          <w:rFonts w:ascii="PT Astra Serif" w:hAnsi="PT Astra Serif"/>
          <w:sz w:val="28"/>
          <w:szCs w:val="28"/>
        </w:rPr>
        <w:br/>
        <w:t>в Барышском (34,5 %) и Базарносызганском (34,9 %) районах.</w:t>
      </w:r>
    </w:p>
    <w:p w:rsidR="00CB4B6C" w:rsidRPr="00DE5120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39D">
        <w:rPr>
          <w:rFonts w:ascii="PT Astra Serif" w:hAnsi="PT Astra Serif"/>
          <w:sz w:val="28"/>
          <w:szCs w:val="28"/>
        </w:rPr>
        <w:t xml:space="preserve">Лучший результат по </w:t>
      </w:r>
      <w:r w:rsidRPr="00C87D0D">
        <w:rPr>
          <w:rFonts w:ascii="PT Astra Serif" w:hAnsi="PT Astra Serif"/>
          <w:b/>
          <w:sz w:val="28"/>
          <w:szCs w:val="28"/>
        </w:rPr>
        <w:t>производству молока</w:t>
      </w:r>
      <w:r w:rsidRPr="0004239D">
        <w:rPr>
          <w:rFonts w:ascii="PT Astra Serif" w:hAnsi="PT Astra Serif"/>
          <w:sz w:val="28"/>
          <w:szCs w:val="28"/>
        </w:rPr>
        <w:t xml:space="preserve"> у Новоспасского </w:t>
      </w:r>
      <w:r>
        <w:rPr>
          <w:rFonts w:ascii="PT Astra Serif" w:hAnsi="PT Astra Serif"/>
          <w:sz w:val="28"/>
          <w:szCs w:val="28"/>
        </w:rPr>
        <w:t>района</w:t>
      </w:r>
      <w:r w:rsidRPr="0004239D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113,9 </w:t>
      </w:r>
      <w:r w:rsidRPr="0004239D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, худший показал Старомайнский район – 67 %.</w:t>
      </w:r>
    </w:p>
    <w:p w:rsidR="00CB4B6C" w:rsidRPr="00A25D57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Рост </w:t>
      </w:r>
      <w:r w:rsidRPr="00DE5120">
        <w:rPr>
          <w:rFonts w:ascii="PT Astra Serif" w:hAnsi="PT Astra Serif"/>
          <w:b/>
          <w:sz w:val="28"/>
          <w:szCs w:val="28"/>
        </w:rPr>
        <w:t>валового сбора зерновых и зернобобовых культур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итогам 2021 года зафиксирован в Инзенском (137 %) и Барышском (109 %) районах. </w:t>
      </w:r>
      <w:r>
        <w:rPr>
          <w:rFonts w:ascii="PT Astra Serif" w:hAnsi="PT Astra Serif"/>
          <w:sz w:val="28"/>
          <w:szCs w:val="28"/>
        </w:rPr>
        <w:br/>
        <w:t xml:space="preserve">В большинстве муниципальных образований имеется спад по данному показателю, поскольку не смогли достичь рекордных показателей </w:t>
      </w:r>
      <w:r w:rsidRPr="00DE5120">
        <w:rPr>
          <w:rFonts w:ascii="PT Astra Serif" w:hAnsi="PT Astra Serif"/>
          <w:b/>
          <w:sz w:val="28"/>
          <w:szCs w:val="28"/>
        </w:rPr>
        <w:t>валового сбора зерновых и зернобобовых культур</w:t>
      </w:r>
      <w:r w:rsidRPr="00A25D57">
        <w:rPr>
          <w:rFonts w:ascii="PT Astra Serif" w:hAnsi="PT Astra Serif"/>
          <w:sz w:val="28"/>
          <w:szCs w:val="28"/>
        </w:rPr>
        <w:t>, достигнутых в 2020 году.</w:t>
      </w:r>
      <w:r>
        <w:rPr>
          <w:rFonts w:ascii="PT Astra Serif" w:hAnsi="PT Astra Serif"/>
          <w:sz w:val="28"/>
          <w:szCs w:val="28"/>
        </w:rPr>
        <w:t xml:space="preserve"> Худший результат показал Старомайнский район – 41 %. </w:t>
      </w:r>
    </w:p>
    <w:p w:rsidR="00CB4B6C" w:rsidRPr="001831BD" w:rsidRDefault="00CB4B6C" w:rsidP="00393095">
      <w:pPr>
        <w:spacing w:after="0" w:line="240" w:lineRule="auto"/>
        <w:ind w:right="-108" w:firstLine="709"/>
        <w:jc w:val="both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1831BD">
        <w:rPr>
          <w:rFonts w:ascii="PT Astra Serif" w:hAnsi="PT Astra Serif"/>
          <w:b/>
          <w:color w:val="000000"/>
          <w:spacing w:val="-4"/>
          <w:sz w:val="28"/>
          <w:szCs w:val="28"/>
        </w:rPr>
        <w:t>По итогам 2021 года в пятёрку лидеров вошли следующие муниципальные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pacing w:val="-4"/>
          <w:sz w:val="28"/>
          <w:szCs w:val="28"/>
        </w:rPr>
        <w:t>образования:</w:t>
      </w:r>
    </w:p>
    <w:p w:rsidR="00CB4B6C" w:rsidRDefault="00CB4B6C" w:rsidP="00393095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925B0F">
        <w:rPr>
          <w:rFonts w:ascii="PT Astra Serif" w:hAnsi="PT Astra Serif"/>
          <w:b/>
          <w:color w:val="000000"/>
          <w:sz w:val="28"/>
          <w:szCs w:val="28"/>
        </w:rPr>
        <w:t>1 место Новоспасский район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Pr="0018272E">
        <w:rPr>
          <w:rFonts w:ascii="PT Astra Serif" w:hAnsi="PT Astra Serif"/>
          <w:color w:val="000000"/>
          <w:sz w:val="28"/>
          <w:szCs w:val="28"/>
        </w:rPr>
        <w:t>Н</w:t>
      </w:r>
      <w:r>
        <w:rPr>
          <w:rFonts w:ascii="PT Astra Serif" w:hAnsi="PT Astra Serif"/>
          <w:color w:val="000000"/>
          <w:sz w:val="28"/>
          <w:szCs w:val="28"/>
        </w:rPr>
        <w:t xml:space="preserve">а протяжении нескольких лет муниципальное образование находится в числе лидеров рейтинга.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сравнению с 2020 годом район поднялся с 4 на 1 место благодаря сильным позициям по показателям ф</w:t>
      </w:r>
      <w:r w:rsidRPr="003204F7">
        <w:rPr>
          <w:rFonts w:ascii="PT Astra Serif" w:hAnsi="PT Astra Serif"/>
          <w:color w:val="000000"/>
          <w:sz w:val="28"/>
          <w:szCs w:val="28"/>
        </w:rPr>
        <w:t>инансово-экономическо</w:t>
      </w:r>
      <w:r>
        <w:rPr>
          <w:rFonts w:ascii="PT Astra Serif" w:hAnsi="PT Astra Serif"/>
          <w:color w:val="000000"/>
          <w:sz w:val="28"/>
          <w:szCs w:val="28"/>
        </w:rPr>
        <w:t>го</w:t>
      </w:r>
      <w:r w:rsidRPr="003204F7">
        <w:rPr>
          <w:rFonts w:ascii="PT Astra Serif" w:hAnsi="PT Astra Serif"/>
          <w:color w:val="000000"/>
          <w:sz w:val="28"/>
          <w:szCs w:val="28"/>
        </w:rPr>
        <w:t xml:space="preserve"> развити</w:t>
      </w:r>
      <w:r>
        <w:rPr>
          <w:rFonts w:ascii="PT Astra Serif" w:hAnsi="PT Astra Serif"/>
          <w:color w:val="000000"/>
          <w:sz w:val="28"/>
          <w:szCs w:val="28"/>
        </w:rPr>
        <w:t>я с</w:t>
      </w:r>
      <w:r w:rsidRPr="003204F7">
        <w:rPr>
          <w:rFonts w:ascii="PT Astra Serif" w:hAnsi="PT Astra Serif"/>
          <w:color w:val="000000"/>
          <w:sz w:val="28"/>
          <w:szCs w:val="28"/>
        </w:rPr>
        <w:t>оциальн</w:t>
      </w:r>
      <w:r>
        <w:rPr>
          <w:rFonts w:ascii="PT Astra Serif" w:hAnsi="PT Astra Serif"/>
          <w:color w:val="000000"/>
          <w:sz w:val="28"/>
          <w:szCs w:val="28"/>
        </w:rPr>
        <w:t>ой сферы;</w:t>
      </w:r>
    </w:p>
    <w:p w:rsidR="00CB4B6C" w:rsidRPr="00304490" w:rsidRDefault="00CB4B6C" w:rsidP="00393095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925B0F">
        <w:rPr>
          <w:rFonts w:ascii="PT Astra Serif" w:hAnsi="PT Astra Serif"/>
          <w:b/>
          <w:color w:val="000000"/>
          <w:sz w:val="28"/>
          <w:szCs w:val="28"/>
        </w:rPr>
        <w:t>2 место г. Ульяновск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 xml:space="preserve"> Поднялся с 14 места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в рейтинге социально-экономического развития по сравнению с прошлым годом в основном за счёт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укрепления позиций в</w:t>
      </w:r>
      <w:r w:rsidRPr="003204F7">
        <w:rPr>
          <w:rFonts w:ascii="PT Astra Serif" w:hAnsi="PT Astra Serif"/>
          <w:color w:val="000000"/>
          <w:sz w:val="28"/>
          <w:szCs w:val="28"/>
        </w:rPr>
        <w:t xml:space="preserve"> инвестиционной деятельности </w:t>
      </w:r>
      <w:r>
        <w:rPr>
          <w:rFonts w:ascii="PT Astra Serif" w:hAnsi="PT Astra Serif"/>
          <w:color w:val="000000"/>
          <w:sz w:val="28"/>
          <w:szCs w:val="28"/>
        </w:rPr>
        <w:t>- 1 место (в 2020 году – 21 место), по ф</w:t>
      </w:r>
      <w:r w:rsidRPr="003204F7">
        <w:rPr>
          <w:rFonts w:ascii="PT Astra Serif" w:hAnsi="PT Astra Serif"/>
          <w:color w:val="000000"/>
          <w:sz w:val="28"/>
          <w:szCs w:val="28"/>
        </w:rPr>
        <w:t>инансово-экономическ</w:t>
      </w:r>
      <w:r>
        <w:rPr>
          <w:rFonts w:ascii="PT Astra Serif" w:hAnsi="PT Astra Serif"/>
          <w:color w:val="000000"/>
          <w:sz w:val="28"/>
          <w:szCs w:val="28"/>
        </w:rPr>
        <w:t>им</w:t>
      </w:r>
      <w:r w:rsidRPr="003204F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показателям и д</w:t>
      </w:r>
      <w:r w:rsidRPr="003204F7">
        <w:rPr>
          <w:rFonts w:ascii="PT Astra Serif" w:hAnsi="PT Astra Serif"/>
          <w:color w:val="000000"/>
          <w:sz w:val="28"/>
          <w:szCs w:val="28"/>
        </w:rPr>
        <w:t>енежны</w:t>
      </w:r>
      <w:r>
        <w:rPr>
          <w:rFonts w:ascii="PT Astra Serif" w:hAnsi="PT Astra Serif"/>
          <w:color w:val="000000"/>
          <w:sz w:val="28"/>
          <w:szCs w:val="28"/>
        </w:rPr>
        <w:t>м</w:t>
      </w:r>
      <w:r w:rsidRPr="003204F7">
        <w:rPr>
          <w:rFonts w:ascii="PT Astra Serif" w:hAnsi="PT Astra Serif"/>
          <w:color w:val="000000"/>
          <w:sz w:val="28"/>
          <w:szCs w:val="28"/>
        </w:rPr>
        <w:t xml:space="preserve"> доход</w:t>
      </w:r>
      <w:r>
        <w:rPr>
          <w:rFonts w:ascii="PT Astra Serif" w:hAnsi="PT Astra Serif"/>
          <w:color w:val="000000"/>
          <w:sz w:val="28"/>
          <w:szCs w:val="28"/>
        </w:rPr>
        <w:t>ам</w:t>
      </w:r>
      <w:r w:rsidRPr="003204F7">
        <w:rPr>
          <w:rFonts w:ascii="PT Astra Serif" w:hAnsi="PT Astra Serif"/>
          <w:color w:val="000000"/>
          <w:sz w:val="28"/>
          <w:szCs w:val="28"/>
        </w:rPr>
        <w:t xml:space="preserve"> населения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CB4B6C" w:rsidRPr="00304490" w:rsidRDefault="00CB4B6C" w:rsidP="00393095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A10E59">
        <w:rPr>
          <w:rFonts w:ascii="PT Astra Serif" w:hAnsi="PT Astra Serif"/>
          <w:b/>
          <w:color w:val="000000"/>
          <w:sz w:val="28"/>
          <w:szCs w:val="28"/>
        </w:rPr>
        <w:t>3 место Мелекесский район</w:t>
      </w:r>
      <w:r>
        <w:rPr>
          <w:rFonts w:ascii="PT Astra Serif" w:hAnsi="PT Astra Serif"/>
          <w:color w:val="000000"/>
          <w:sz w:val="28"/>
          <w:szCs w:val="28"/>
        </w:rPr>
        <w:t xml:space="preserve">. По сравнению с 2020 годом опустился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с 1 места, но продолжает оставаться в пятёрке лидеров рейтинга. Ухудшились позиции по блоку </w:t>
      </w:r>
      <w:r w:rsidRPr="003204F7">
        <w:rPr>
          <w:rFonts w:ascii="PT Astra Serif" w:hAnsi="PT Astra Serif"/>
          <w:color w:val="000000"/>
          <w:sz w:val="28"/>
          <w:szCs w:val="28"/>
        </w:rPr>
        <w:t>«Денежные доходы населения»</w:t>
      </w:r>
      <w:r>
        <w:rPr>
          <w:rFonts w:ascii="PT Astra Serif" w:hAnsi="PT Astra Serif"/>
          <w:color w:val="000000"/>
          <w:sz w:val="28"/>
          <w:szCs w:val="28"/>
        </w:rPr>
        <w:t xml:space="preserve"> - 7 место (в 2020 году –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2 место). По-прежнему район имеет высокие показатели по блоку </w:t>
      </w:r>
      <w:r w:rsidRPr="003204F7">
        <w:rPr>
          <w:rFonts w:ascii="PT Astra Serif" w:hAnsi="PT Astra Serif"/>
          <w:color w:val="000000"/>
          <w:sz w:val="28"/>
          <w:szCs w:val="28"/>
        </w:rPr>
        <w:t>«Развитие инвестиционной деятельности и благоприятного делового климата»</w:t>
      </w:r>
      <w:r>
        <w:rPr>
          <w:rFonts w:ascii="PT Astra Serif" w:hAnsi="PT Astra Serif"/>
          <w:color w:val="000000"/>
          <w:sz w:val="28"/>
          <w:szCs w:val="28"/>
        </w:rPr>
        <w:t xml:space="preserve"> и блоку </w:t>
      </w:r>
      <w:r w:rsidRPr="003204F7">
        <w:rPr>
          <w:rFonts w:ascii="PT Astra Serif" w:hAnsi="PT Astra Serif"/>
          <w:color w:val="000000"/>
          <w:sz w:val="28"/>
          <w:szCs w:val="28"/>
        </w:rPr>
        <w:t>«Финансово-экономическое развитие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CB4B6C" w:rsidRDefault="00CB4B6C" w:rsidP="00393095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9D7410">
        <w:rPr>
          <w:rFonts w:ascii="PT Astra Serif" w:hAnsi="PT Astra Serif"/>
          <w:b/>
          <w:color w:val="000000"/>
          <w:sz w:val="28"/>
          <w:szCs w:val="28"/>
        </w:rPr>
        <w:t>4 место Чердаклинский район</w:t>
      </w:r>
      <w:r>
        <w:rPr>
          <w:rFonts w:ascii="PT Astra Serif" w:hAnsi="PT Astra Serif"/>
          <w:color w:val="000000"/>
          <w:sz w:val="28"/>
          <w:szCs w:val="28"/>
        </w:rPr>
        <w:t xml:space="preserve">. Ухудшил свои позиции в рейтинге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2021 года, опустившись с 1 места в 2020 году в основном за счёт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ухудшения финансово-экономических показателей, снижения доходов населения и показателей, отражающих развитие сельского хозяйства; </w:t>
      </w:r>
    </w:p>
    <w:p w:rsidR="00CB4B6C" w:rsidRDefault="00CB4B6C" w:rsidP="00393095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2259B">
        <w:rPr>
          <w:rFonts w:ascii="PT Astra Serif" w:hAnsi="PT Astra Serif"/>
          <w:b/>
          <w:color w:val="000000"/>
          <w:sz w:val="28"/>
          <w:szCs w:val="28"/>
        </w:rPr>
        <w:t>5 место г. Димитровград</w:t>
      </w:r>
      <w:r>
        <w:rPr>
          <w:rFonts w:ascii="PT Astra Serif" w:hAnsi="PT Astra Serif"/>
          <w:color w:val="000000"/>
          <w:sz w:val="28"/>
          <w:szCs w:val="28"/>
        </w:rPr>
        <w:t>. Поднялся с 13 на 5 место в рейтинге социально-экономического развития по сравнению с прошлым отчётным периодом</w:t>
      </w:r>
      <w:r w:rsidRPr="0030449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2020 года. В основном улучшение позиций в рейтинге произошло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за счёт роста показателей в блоках </w:t>
      </w:r>
      <w:r w:rsidRPr="003204F7">
        <w:rPr>
          <w:rFonts w:ascii="PT Astra Serif" w:hAnsi="PT Astra Serif"/>
          <w:color w:val="000000"/>
          <w:sz w:val="28"/>
          <w:szCs w:val="28"/>
        </w:rPr>
        <w:t xml:space="preserve">«Развитие инвестиционной деятельности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 w:rsidRPr="003204F7">
        <w:rPr>
          <w:rFonts w:ascii="PT Astra Serif" w:hAnsi="PT Astra Serif"/>
          <w:color w:val="000000"/>
          <w:sz w:val="28"/>
          <w:szCs w:val="28"/>
        </w:rPr>
        <w:t>и благоприятного делового климата»</w:t>
      </w:r>
      <w:r>
        <w:rPr>
          <w:rFonts w:ascii="PT Astra Serif" w:hAnsi="PT Astra Serif"/>
          <w:color w:val="000000"/>
          <w:sz w:val="28"/>
          <w:szCs w:val="28"/>
        </w:rPr>
        <w:t xml:space="preserve"> - 5 место (в 2020 году – 20 место), </w:t>
      </w:r>
      <w:r w:rsidRPr="003204F7">
        <w:rPr>
          <w:rFonts w:ascii="PT Astra Serif" w:hAnsi="PT Astra Serif"/>
          <w:color w:val="000000"/>
          <w:sz w:val="28"/>
          <w:szCs w:val="28"/>
        </w:rPr>
        <w:t>«Финансово-экономическое развитие»</w:t>
      </w:r>
      <w:r>
        <w:rPr>
          <w:rFonts w:ascii="PT Astra Serif" w:hAnsi="PT Astra Serif"/>
          <w:color w:val="000000"/>
          <w:sz w:val="28"/>
          <w:szCs w:val="28"/>
        </w:rPr>
        <w:t xml:space="preserve"> - 5 место (в 2020 году – 8 место), </w:t>
      </w:r>
      <w:r w:rsidRPr="003204F7">
        <w:rPr>
          <w:rFonts w:ascii="PT Astra Serif" w:hAnsi="PT Astra Serif"/>
          <w:color w:val="000000"/>
          <w:sz w:val="28"/>
          <w:szCs w:val="28"/>
        </w:rPr>
        <w:t>«Денежные доходы населения»</w:t>
      </w:r>
      <w:r>
        <w:rPr>
          <w:rFonts w:ascii="PT Astra Serif" w:hAnsi="PT Astra Serif"/>
          <w:color w:val="000000"/>
          <w:sz w:val="28"/>
          <w:szCs w:val="28"/>
        </w:rPr>
        <w:t xml:space="preserve"> - 1 место (в 2020 году – 9 место).</w:t>
      </w:r>
    </w:p>
    <w:p w:rsidR="00CB4B6C" w:rsidRPr="001831BD" w:rsidRDefault="00CB4B6C" w:rsidP="00393095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 итогам рейтинга за 2021 год состав аутсайдеров не претерпел значительных изменений. В их число</w:t>
      </w:r>
      <w:r w:rsidRPr="001831BD">
        <w:rPr>
          <w:rFonts w:ascii="PT Astra Serif" w:hAnsi="PT Astra Serif"/>
          <w:b/>
          <w:color w:val="000000"/>
          <w:sz w:val="28"/>
          <w:szCs w:val="28"/>
        </w:rPr>
        <w:t xml:space="preserve"> вошли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следующие муниципальные образования</w:t>
      </w:r>
      <w:r w:rsidRPr="001831BD">
        <w:rPr>
          <w:rFonts w:ascii="PT Astra Serif" w:hAnsi="PT Astra Serif"/>
          <w:b/>
          <w:color w:val="000000"/>
          <w:sz w:val="28"/>
          <w:szCs w:val="28"/>
        </w:rPr>
        <w:t>:</w:t>
      </w:r>
    </w:p>
    <w:p w:rsidR="00CB4B6C" w:rsidRPr="00304490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44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165E58">
        <w:rPr>
          <w:rFonts w:ascii="PT Astra Serif" w:hAnsi="PT Astra Serif"/>
          <w:b/>
          <w:color w:val="000000" w:themeColor="text1"/>
          <w:sz w:val="28"/>
          <w:szCs w:val="28"/>
        </w:rPr>
        <w:t xml:space="preserve">20 место </w:t>
      </w:r>
      <w:r w:rsidRPr="00165E58">
        <w:rPr>
          <w:rFonts w:ascii="PT Astra Serif" w:hAnsi="PT Astra Serif"/>
          <w:b/>
          <w:color w:val="000000"/>
          <w:sz w:val="28"/>
          <w:szCs w:val="28"/>
        </w:rPr>
        <w:t>Сенгилеевский</w:t>
      </w:r>
      <w:r w:rsidRPr="00165E58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По результатам 2021 года остался на прежнем месте. Для района характерны низкие значения показателей по блокам </w:t>
      </w:r>
      <w:r w:rsidRPr="003204F7">
        <w:rPr>
          <w:rFonts w:ascii="PT Astra Serif" w:hAnsi="PT Astra Serif"/>
          <w:color w:val="000000"/>
          <w:sz w:val="28"/>
          <w:szCs w:val="28"/>
        </w:rPr>
        <w:t>«Финансово-экономическое развитие</w:t>
      </w:r>
      <w:r>
        <w:rPr>
          <w:rFonts w:ascii="PT Astra Serif" w:hAnsi="PT Astra Serif"/>
          <w:color w:val="000000"/>
          <w:sz w:val="28"/>
          <w:szCs w:val="28"/>
        </w:rPr>
        <w:t xml:space="preserve">» - 21 место (в 2020 году – 21 место)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и «Социальная сфера» - 24 место (в 2020 году – 14 место)</w:t>
      </w:r>
      <w:r w:rsidRPr="0030449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B4B6C" w:rsidRPr="00304490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04490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165E58">
        <w:rPr>
          <w:rFonts w:ascii="PT Astra Serif" w:hAnsi="PT Astra Serif"/>
          <w:b/>
          <w:color w:val="000000" w:themeColor="text1"/>
          <w:sz w:val="28"/>
          <w:szCs w:val="28"/>
        </w:rPr>
        <w:t xml:space="preserve">21 место Новомалыклинский </w:t>
      </w:r>
      <w:r w:rsidRPr="00165E58">
        <w:rPr>
          <w:rFonts w:ascii="PT Astra Serif" w:hAnsi="PT Astra Serif"/>
          <w:b/>
          <w:color w:val="000000"/>
          <w:sz w:val="28"/>
          <w:szCs w:val="28"/>
        </w:rPr>
        <w:t>район</w:t>
      </w:r>
      <w:r>
        <w:rPr>
          <w:rFonts w:ascii="PT Astra Serif" w:hAnsi="PT Astra Serif"/>
          <w:color w:val="000000"/>
          <w:sz w:val="28"/>
          <w:szCs w:val="28"/>
        </w:rPr>
        <w:t xml:space="preserve">. По итогам 2021 года опустился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с 3 места и попал в число муниципальных образований с низкими значениями показателей. В основном это связано с падением значений показателей по блокам: </w:t>
      </w:r>
      <w:r w:rsidRPr="003204F7">
        <w:rPr>
          <w:rFonts w:ascii="PT Astra Serif" w:hAnsi="PT Astra Serif"/>
          <w:color w:val="000000"/>
          <w:sz w:val="28"/>
          <w:szCs w:val="28"/>
        </w:rPr>
        <w:t>«Развитие инвестиционной деятельности и благоприятного делового климата»</w:t>
      </w:r>
      <w:r>
        <w:rPr>
          <w:rFonts w:ascii="PT Astra Serif" w:hAnsi="PT Astra Serif"/>
          <w:color w:val="000000"/>
          <w:sz w:val="28"/>
          <w:szCs w:val="28"/>
        </w:rPr>
        <w:t xml:space="preserve"> - 24 место (в 2020 году – 1 место), </w:t>
      </w:r>
      <w:r w:rsidRPr="003204F7">
        <w:rPr>
          <w:rFonts w:ascii="PT Astra Serif" w:hAnsi="PT Astra Serif"/>
          <w:color w:val="000000"/>
          <w:sz w:val="28"/>
          <w:szCs w:val="28"/>
        </w:rPr>
        <w:t>«Денежные доходы населения»</w:t>
      </w:r>
      <w:r>
        <w:rPr>
          <w:rFonts w:ascii="PT Astra Serif" w:hAnsi="PT Astra Serif"/>
          <w:color w:val="000000"/>
          <w:sz w:val="28"/>
          <w:szCs w:val="28"/>
        </w:rPr>
        <w:t xml:space="preserve"> -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24 место (в 2020 году – 10 место). Сильно «просели» показатели по темпам розничной торговли, что связано со структурными изменениями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Новомалыклинского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районного потребительского общества (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Новомалыклинское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РАЙПО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), осуществляющего розничную торговлю на территории района. Снижение т</w:t>
      </w:r>
      <w:r w:rsidRPr="00641B29">
        <w:rPr>
          <w:rFonts w:ascii="PT Astra Serif" w:hAnsi="PT Astra Serif"/>
          <w:color w:val="000000"/>
          <w:sz w:val="28"/>
          <w:szCs w:val="28"/>
        </w:rPr>
        <w:t>емп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 w:rsidRPr="00641B29">
        <w:rPr>
          <w:rFonts w:ascii="PT Astra Serif" w:hAnsi="PT Astra Serif"/>
          <w:color w:val="000000"/>
          <w:sz w:val="28"/>
          <w:szCs w:val="28"/>
        </w:rPr>
        <w:t xml:space="preserve"> объ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641B29">
        <w:rPr>
          <w:rFonts w:ascii="PT Astra Serif" w:hAnsi="PT Astra Serif"/>
          <w:color w:val="000000"/>
          <w:sz w:val="28"/>
          <w:szCs w:val="28"/>
        </w:rPr>
        <w:t xml:space="preserve">ма </w:t>
      </w:r>
      <w:proofErr w:type="spellStart"/>
      <w:r w:rsidRPr="00641B29">
        <w:rPr>
          <w:rFonts w:ascii="PT Astra Serif" w:hAnsi="PT Astra Serif"/>
          <w:color w:val="000000"/>
          <w:sz w:val="28"/>
          <w:szCs w:val="28"/>
        </w:rPr>
        <w:t>НДФЛ</w:t>
      </w:r>
      <w:proofErr w:type="spellEnd"/>
      <w:r w:rsidRPr="00641B29">
        <w:rPr>
          <w:rFonts w:ascii="PT Astra Serif" w:hAnsi="PT Astra Serif"/>
          <w:color w:val="000000"/>
          <w:sz w:val="28"/>
          <w:szCs w:val="28"/>
        </w:rPr>
        <w:t xml:space="preserve">, зачисляемого в бюджет </w:t>
      </w:r>
      <w:r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образования, в 2021 году связано с тем, что в прошлом 2020 году были осуществлены погашения имевшейся задолженности по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НДФЛ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. Это свидетельствует о недостаточно эффективной работы комиссии по дисциплине оплаты труда;</w:t>
      </w:r>
    </w:p>
    <w:p w:rsidR="00CB4B6C" w:rsidRPr="00304490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044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165E58">
        <w:rPr>
          <w:rFonts w:ascii="PT Astra Serif" w:hAnsi="PT Astra Serif"/>
          <w:b/>
          <w:color w:val="000000"/>
          <w:sz w:val="28"/>
          <w:szCs w:val="28"/>
        </w:rPr>
        <w:t>22 место Базарносызганский район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  <w:r w:rsidRPr="0030449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2021 года остался на прежнем месте. Провальная ситуация по блокам </w:t>
      </w:r>
      <w:r w:rsidRPr="003204F7">
        <w:rPr>
          <w:rFonts w:ascii="PT Astra Serif" w:hAnsi="PT Astra Serif"/>
          <w:color w:val="000000"/>
          <w:sz w:val="28"/>
          <w:szCs w:val="28"/>
        </w:rPr>
        <w:t>«Денежные доходы населения»</w:t>
      </w:r>
      <w:r>
        <w:rPr>
          <w:rFonts w:ascii="PT Astra Serif" w:hAnsi="PT Astra Serif"/>
          <w:color w:val="000000"/>
          <w:sz w:val="28"/>
          <w:szCs w:val="28"/>
        </w:rPr>
        <w:t xml:space="preserve"> - 23 место (в 2020 году – 15 место), </w:t>
      </w:r>
      <w:r w:rsidRPr="003204F7">
        <w:rPr>
          <w:rFonts w:ascii="PT Astra Serif" w:hAnsi="PT Astra Serif"/>
          <w:color w:val="000000"/>
          <w:sz w:val="28"/>
          <w:szCs w:val="28"/>
        </w:rPr>
        <w:t>«Развитие инвестиционной деятельности и благоприятного делового климата»</w:t>
      </w:r>
      <w:r>
        <w:rPr>
          <w:rFonts w:ascii="PT Astra Serif" w:hAnsi="PT Astra Serif"/>
          <w:color w:val="000000"/>
          <w:sz w:val="28"/>
          <w:szCs w:val="28"/>
        </w:rPr>
        <w:t xml:space="preserve"> - 20 место (в 2020 году – </w:t>
      </w:r>
      <w:r w:rsidR="008167FA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13 место)</w:t>
      </w:r>
      <w:r w:rsidRPr="00304490">
        <w:rPr>
          <w:rFonts w:ascii="PT Astra Serif" w:hAnsi="PT Astra Serif"/>
          <w:color w:val="000000"/>
          <w:sz w:val="28"/>
          <w:szCs w:val="28"/>
        </w:rPr>
        <w:t>;</w:t>
      </w:r>
    </w:p>
    <w:p w:rsidR="00CB4B6C" w:rsidRPr="00304490" w:rsidRDefault="00CB4B6C" w:rsidP="00393095">
      <w:pPr>
        <w:spacing w:after="0" w:line="240" w:lineRule="auto"/>
        <w:ind w:firstLine="709"/>
        <w:jc w:val="both"/>
        <w:rPr>
          <w:rFonts w:ascii="PT Astra Serif" w:hAnsi="PT Astra Serif"/>
          <w:color w:val="131312"/>
          <w:spacing w:val="-4"/>
          <w:sz w:val="28"/>
          <w:szCs w:val="28"/>
        </w:rPr>
      </w:pPr>
      <w:r w:rsidRPr="003044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165E58">
        <w:rPr>
          <w:rFonts w:ascii="PT Astra Serif" w:hAnsi="PT Astra Serif"/>
          <w:b/>
          <w:color w:val="000000"/>
          <w:sz w:val="28"/>
          <w:szCs w:val="28"/>
        </w:rPr>
        <w:t xml:space="preserve">23 место </w:t>
      </w:r>
      <w:r w:rsidRPr="00165E58">
        <w:rPr>
          <w:rFonts w:ascii="PT Astra Serif" w:hAnsi="PT Astra Serif"/>
          <w:b/>
          <w:color w:val="131312"/>
          <w:spacing w:val="-4"/>
          <w:sz w:val="28"/>
          <w:szCs w:val="28"/>
        </w:rPr>
        <w:t>Старокулаткинский район</w:t>
      </w:r>
      <w:r w:rsidRPr="00304490">
        <w:rPr>
          <w:rFonts w:ascii="PT Astra Serif" w:hAnsi="PT Astra Serif"/>
          <w:color w:val="131312"/>
          <w:spacing w:val="-4"/>
          <w:sz w:val="28"/>
          <w:szCs w:val="28"/>
        </w:rPr>
        <w:t xml:space="preserve"> (</w:t>
      </w:r>
      <w:r>
        <w:rPr>
          <w:rFonts w:ascii="PT Astra Serif" w:hAnsi="PT Astra Serif"/>
          <w:color w:val="131312"/>
          <w:spacing w:val="-4"/>
          <w:sz w:val="28"/>
          <w:szCs w:val="28"/>
        </w:rPr>
        <w:t>в 2020 году – 24 место</w:t>
      </w:r>
      <w:r w:rsidRPr="00304490">
        <w:rPr>
          <w:rFonts w:ascii="PT Astra Serif" w:hAnsi="PT Astra Serif"/>
          <w:color w:val="131312"/>
          <w:spacing w:val="-4"/>
          <w:sz w:val="28"/>
          <w:szCs w:val="28"/>
        </w:rPr>
        <w:t>)</w:t>
      </w:r>
      <w:r>
        <w:rPr>
          <w:rFonts w:ascii="PT Astra Serif" w:hAnsi="PT Astra Serif"/>
          <w:color w:val="131312"/>
          <w:spacing w:val="-4"/>
          <w:sz w:val="28"/>
          <w:szCs w:val="28"/>
        </w:rPr>
        <w:t xml:space="preserve">. По итогам рейтинга за 2021 год слабые позиции по блоку «Социальная сфера» - 21 место </w:t>
      </w:r>
      <w:r w:rsidR="008167FA">
        <w:rPr>
          <w:rFonts w:ascii="PT Astra Serif" w:hAnsi="PT Astra Serif"/>
          <w:color w:val="131312"/>
          <w:spacing w:val="-4"/>
          <w:sz w:val="28"/>
          <w:szCs w:val="28"/>
        </w:rPr>
        <w:br/>
      </w:r>
      <w:r>
        <w:rPr>
          <w:rFonts w:ascii="PT Astra Serif" w:hAnsi="PT Astra Serif"/>
          <w:color w:val="131312"/>
          <w:spacing w:val="-4"/>
          <w:sz w:val="28"/>
          <w:szCs w:val="28"/>
        </w:rPr>
        <w:t xml:space="preserve">(в 2020 году – 22 место), блоку </w:t>
      </w:r>
      <w:r w:rsidRPr="003204F7">
        <w:rPr>
          <w:rFonts w:ascii="PT Astra Serif" w:hAnsi="PT Astra Serif"/>
          <w:color w:val="000000"/>
          <w:sz w:val="28"/>
          <w:szCs w:val="28"/>
        </w:rPr>
        <w:t>«Финансово-экономическое развитие</w:t>
      </w:r>
      <w:r>
        <w:rPr>
          <w:rFonts w:ascii="PT Astra Serif" w:hAnsi="PT Astra Serif"/>
          <w:color w:val="000000"/>
          <w:sz w:val="28"/>
          <w:szCs w:val="28"/>
        </w:rPr>
        <w:t>» - 22 место (в 2020 году – 24 место)</w:t>
      </w:r>
      <w:r w:rsidRPr="00304490">
        <w:rPr>
          <w:rFonts w:ascii="PT Astra Serif" w:hAnsi="PT Astra Serif"/>
          <w:color w:val="131312"/>
          <w:spacing w:val="-4"/>
          <w:sz w:val="28"/>
          <w:szCs w:val="28"/>
        </w:rPr>
        <w:t>;</w:t>
      </w:r>
    </w:p>
    <w:p w:rsidR="00CB4B6C" w:rsidRDefault="00CB4B6C" w:rsidP="00393095">
      <w:pPr>
        <w:spacing w:after="0" w:line="240" w:lineRule="auto"/>
        <w:ind w:right="-10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04490">
        <w:rPr>
          <w:rFonts w:ascii="PT Astra Serif" w:hAnsi="PT Astra Serif"/>
          <w:color w:val="131312"/>
          <w:spacing w:val="-4"/>
          <w:sz w:val="28"/>
          <w:szCs w:val="28"/>
        </w:rPr>
        <w:t xml:space="preserve">- </w:t>
      </w:r>
      <w:r w:rsidRPr="00165E58">
        <w:rPr>
          <w:rFonts w:ascii="PT Astra Serif" w:hAnsi="PT Astra Serif"/>
          <w:b/>
          <w:color w:val="131312"/>
          <w:spacing w:val="-4"/>
          <w:sz w:val="28"/>
          <w:szCs w:val="28"/>
        </w:rPr>
        <w:t>24 место Павловский район</w:t>
      </w:r>
      <w:r>
        <w:rPr>
          <w:rFonts w:ascii="PT Astra Serif" w:hAnsi="PT Astra Serif"/>
          <w:b/>
          <w:color w:val="131312"/>
          <w:spacing w:val="-4"/>
          <w:sz w:val="28"/>
          <w:szCs w:val="28"/>
        </w:rPr>
        <w:t xml:space="preserve">. </w:t>
      </w:r>
      <w:r>
        <w:rPr>
          <w:rFonts w:ascii="PT Astra Serif" w:hAnsi="PT Astra Serif"/>
          <w:color w:val="131312"/>
          <w:spacing w:val="-4"/>
          <w:sz w:val="28"/>
          <w:szCs w:val="28"/>
        </w:rPr>
        <w:t xml:space="preserve">По сравнению с предыдущим отчётным периодом опустился на три строчки вниз. Причиной этого являются абсолютно провальные значения показателей по четырём блокам рейтинга из пяти: </w:t>
      </w:r>
      <w:r w:rsidRPr="003204F7">
        <w:rPr>
          <w:rFonts w:ascii="PT Astra Serif" w:hAnsi="PT Astra Serif"/>
          <w:color w:val="000000"/>
          <w:sz w:val="28"/>
          <w:szCs w:val="28"/>
        </w:rPr>
        <w:t>«Развитие инвестиционной деятельности и благоприятного делового климата»</w:t>
      </w:r>
      <w:r>
        <w:rPr>
          <w:rFonts w:ascii="PT Astra Serif" w:hAnsi="PT Astra Serif"/>
          <w:color w:val="000000"/>
          <w:sz w:val="28"/>
          <w:szCs w:val="28"/>
        </w:rPr>
        <w:t xml:space="preserve"> - 22 место, </w:t>
      </w:r>
      <w:r w:rsidRPr="003204F7">
        <w:rPr>
          <w:rFonts w:ascii="PT Astra Serif" w:hAnsi="PT Astra Serif"/>
          <w:color w:val="000000"/>
          <w:sz w:val="28"/>
          <w:szCs w:val="28"/>
        </w:rPr>
        <w:t>«Финансово-экономическое развитие</w:t>
      </w:r>
      <w:r>
        <w:rPr>
          <w:rFonts w:ascii="PT Astra Serif" w:hAnsi="PT Astra Serif"/>
          <w:color w:val="000000"/>
          <w:sz w:val="28"/>
          <w:szCs w:val="28"/>
        </w:rPr>
        <w:t xml:space="preserve">» - 24 место, </w:t>
      </w:r>
      <w:r w:rsidRPr="003204F7">
        <w:rPr>
          <w:rFonts w:ascii="PT Astra Serif" w:hAnsi="PT Astra Serif"/>
          <w:color w:val="000000"/>
          <w:sz w:val="28"/>
          <w:szCs w:val="28"/>
        </w:rPr>
        <w:t>«Денежные доходы населения»</w:t>
      </w:r>
      <w:r>
        <w:rPr>
          <w:rFonts w:ascii="PT Astra Serif" w:hAnsi="PT Astra Serif"/>
          <w:color w:val="000000"/>
          <w:sz w:val="28"/>
          <w:szCs w:val="28"/>
        </w:rPr>
        <w:t xml:space="preserve"> - 21 место, «Социальная сфера» - 23 место.</w:t>
      </w:r>
    </w:p>
    <w:p w:rsidR="00CB4B6C" w:rsidRDefault="00393095" w:rsidP="00393095">
      <w:pPr>
        <w:spacing w:after="0" w:line="240" w:lineRule="auto"/>
        <w:ind w:right="-108" w:firstLine="709"/>
        <w:jc w:val="both"/>
        <w:rPr>
          <w:rFonts w:ascii="PT Astra Serif" w:hAnsi="PT Astra Serif"/>
          <w:color w:val="131312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Среди муниципальных образований Ульяновской области со средним уровнем социально-экономического развития п</w:t>
      </w:r>
      <w:r w:rsidR="00CB4B6C">
        <w:rPr>
          <w:rFonts w:ascii="PT Astra Serif" w:hAnsi="PT Astra Serif"/>
          <w:color w:val="000000"/>
          <w:sz w:val="28"/>
          <w:szCs w:val="28"/>
        </w:rPr>
        <w:t xml:space="preserve">о сравнению с 2020 годом </w:t>
      </w:r>
      <w:r w:rsidR="00CB4B6C" w:rsidRPr="00454B80">
        <w:rPr>
          <w:rFonts w:ascii="PT Astra Serif" w:hAnsi="PT Astra Serif"/>
          <w:color w:val="000000"/>
          <w:sz w:val="28"/>
          <w:szCs w:val="28"/>
        </w:rPr>
        <w:t>7</w:t>
      </w:r>
      <w:r w:rsidR="00CB4B6C">
        <w:rPr>
          <w:rFonts w:ascii="PT Astra Serif" w:hAnsi="PT Astra Serif"/>
          <w:color w:val="000000"/>
          <w:sz w:val="28"/>
          <w:szCs w:val="28"/>
        </w:rPr>
        <w:t xml:space="preserve"> муниципальных образований улучшили свои позиции в рейтинге, </w:t>
      </w:r>
      <w:r w:rsidR="00CB4B6C" w:rsidRPr="00454B80">
        <w:rPr>
          <w:rFonts w:ascii="PT Astra Serif" w:hAnsi="PT Astra Serif"/>
          <w:color w:val="000000"/>
          <w:sz w:val="28"/>
          <w:szCs w:val="28"/>
        </w:rPr>
        <w:t>6</w:t>
      </w:r>
      <w:r w:rsidR="00CB4B6C">
        <w:rPr>
          <w:rFonts w:ascii="PT Astra Serif" w:hAnsi="PT Astra Serif"/>
          <w:color w:val="000000"/>
          <w:sz w:val="28"/>
          <w:szCs w:val="28"/>
        </w:rPr>
        <w:t xml:space="preserve"> – ухудшили, 1 – осталось без изменений.</w:t>
      </w:r>
      <w:r>
        <w:rPr>
          <w:rFonts w:ascii="PT Astra Serif" w:hAnsi="PT Astra Serif"/>
          <w:color w:val="000000"/>
          <w:sz w:val="28"/>
          <w:szCs w:val="28"/>
        </w:rPr>
        <w:t xml:space="preserve"> Материалы презентации прилагаются.</w:t>
      </w:r>
    </w:p>
    <w:p w:rsidR="00CB4B6C" w:rsidRDefault="00CB4B6C" w:rsidP="00CB4B6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CB4B6C" w:rsidRDefault="00CB4B6C" w:rsidP="00CB4B6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Приложение: на 11 л. в 1 экз.</w:t>
      </w:r>
    </w:p>
    <w:p w:rsidR="006D36D0" w:rsidRDefault="006D36D0" w:rsidP="00CB4B6C">
      <w:pPr>
        <w:widowControl w:val="0"/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CB4B6C" w:rsidRDefault="00CB4B6C" w:rsidP="00CB4B6C">
      <w:pPr>
        <w:widowControl w:val="0"/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30508A" w:rsidRPr="006D36D0" w:rsidRDefault="0030508A" w:rsidP="00CB4B6C">
      <w:pPr>
        <w:widowControl w:val="0"/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0610C0" w:rsidRPr="006D36D0" w:rsidRDefault="006910E0" w:rsidP="006D36D0">
      <w:pPr>
        <w:widowControl w:val="0"/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  <w:proofErr w:type="gramStart"/>
      <w:r w:rsidRPr="006D36D0">
        <w:rPr>
          <w:rFonts w:ascii="PT Astra Serif" w:hAnsi="PT Astra Serif" w:cs="Times New Roman"/>
          <w:sz w:val="27"/>
          <w:szCs w:val="27"/>
        </w:rPr>
        <w:t>Исполняющий</w:t>
      </w:r>
      <w:proofErr w:type="gramEnd"/>
      <w:r w:rsidRPr="006D36D0">
        <w:rPr>
          <w:rFonts w:ascii="PT Astra Serif" w:hAnsi="PT Astra Serif" w:cs="Times New Roman"/>
          <w:sz w:val="27"/>
          <w:szCs w:val="27"/>
        </w:rPr>
        <w:t xml:space="preserve"> обязанности</w:t>
      </w:r>
    </w:p>
    <w:p w:rsidR="004A277A" w:rsidRPr="006D36D0" w:rsidRDefault="006910E0" w:rsidP="006D36D0">
      <w:pPr>
        <w:pStyle w:val="a3"/>
        <w:widowControl w:val="0"/>
        <w:spacing w:after="0" w:line="240" w:lineRule="auto"/>
        <w:ind w:left="0"/>
        <w:jc w:val="both"/>
        <w:rPr>
          <w:rFonts w:ascii="PT Astra Serif" w:hAnsi="PT Astra Serif" w:cs="Times New Roman"/>
          <w:sz w:val="27"/>
          <w:szCs w:val="27"/>
        </w:rPr>
      </w:pPr>
      <w:r w:rsidRPr="006D36D0">
        <w:rPr>
          <w:rFonts w:ascii="PT Astra Serif" w:hAnsi="PT Astra Serif" w:cs="Times New Roman"/>
          <w:sz w:val="27"/>
          <w:szCs w:val="27"/>
        </w:rPr>
        <w:t>г</w:t>
      </w:r>
      <w:r w:rsidR="004A277A" w:rsidRPr="006D36D0">
        <w:rPr>
          <w:rFonts w:ascii="PT Astra Serif" w:hAnsi="PT Astra Serif" w:cs="Times New Roman"/>
          <w:sz w:val="27"/>
          <w:szCs w:val="27"/>
        </w:rPr>
        <w:t>енеральн</w:t>
      </w:r>
      <w:r w:rsidRPr="006D36D0">
        <w:rPr>
          <w:rFonts w:ascii="PT Astra Serif" w:hAnsi="PT Astra Serif" w:cs="Times New Roman"/>
          <w:sz w:val="27"/>
          <w:szCs w:val="27"/>
        </w:rPr>
        <w:t>ого</w:t>
      </w:r>
      <w:r w:rsidR="004A277A" w:rsidRPr="006D36D0">
        <w:rPr>
          <w:rFonts w:ascii="PT Astra Serif" w:hAnsi="PT Astra Serif" w:cs="Times New Roman"/>
          <w:sz w:val="27"/>
          <w:szCs w:val="27"/>
        </w:rPr>
        <w:t xml:space="preserve"> директор</w:t>
      </w:r>
      <w:r w:rsidRPr="006D36D0">
        <w:rPr>
          <w:rFonts w:ascii="PT Astra Serif" w:hAnsi="PT Astra Serif" w:cs="Times New Roman"/>
          <w:sz w:val="27"/>
          <w:szCs w:val="27"/>
        </w:rPr>
        <w:t>а</w:t>
      </w:r>
      <w:r w:rsidR="00A9240E" w:rsidRPr="00A9240E">
        <w:rPr>
          <w:rFonts w:ascii="PT Astra Serif" w:hAnsi="PT Astra Serif" w:cs="Times New Roman"/>
          <w:sz w:val="27"/>
          <w:szCs w:val="27"/>
        </w:rPr>
        <w:t xml:space="preserve">                                                                                  </w:t>
      </w:r>
      <w:r w:rsidRPr="006D36D0">
        <w:rPr>
          <w:rFonts w:ascii="PT Astra Serif" w:hAnsi="PT Astra Serif" w:cs="Times New Roman"/>
          <w:sz w:val="27"/>
          <w:szCs w:val="27"/>
        </w:rPr>
        <w:t>А.В.Зотова</w:t>
      </w:r>
    </w:p>
    <w:p w:rsidR="00806A44" w:rsidRDefault="00806A44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064F36" w:rsidRDefault="00064F36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064F36" w:rsidRDefault="00064F36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064F36" w:rsidRDefault="00064F36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064F36" w:rsidRDefault="00064F36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712B6E" w:rsidRDefault="00712B6E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712B6E" w:rsidRDefault="00712B6E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712B6E" w:rsidRDefault="00712B6E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712B6E" w:rsidRDefault="00712B6E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8167FA" w:rsidRDefault="008167FA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712B6E" w:rsidRDefault="00712B6E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A7351" w:rsidRDefault="00BA7351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</w:p>
    <w:p w:rsidR="00BB5189" w:rsidRPr="00BB5189" w:rsidRDefault="006910E0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Баженова Анна Александровна</w:t>
      </w:r>
    </w:p>
    <w:p w:rsidR="00BB5189" w:rsidRPr="00BB5189" w:rsidRDefault="00BB5189" w:rsidP="00D01605">
      <w:pPr>
        <w:pStyle w:val="a3"/>
        <w:widowControl w:val="0"/>
        <w:spacing w:after="0"/>
        <w:ind w:left="0"/>
        <w:jc w:val="both"/>
        <w:rPr>
          <w:rFonts w:ascii="PT Astra Serif" w:hAnsi="PT Astra Serif" w:cs="Times New Roman"/>
          <w:sz w:val="20"/>
          <w:szCs w:val="20"/>
        </w:rPr>
      </w:pPr>
      <w:r w:rsidRPr="00BB5189">
        <w:rPr>
          <w:rFonts w:ascii="PT Astra Serif" w:hAnsi="PT Astra Serif" w:cs="Times New Roman"/>
          <w:sz w:val="20"/>
          <w:szCs w:val="20"/>
        </w:rPr>
        <w:t>24-06-</w:t>
      </w:r>
      <w:r w:rsidR="006910E0">
        <w:rPr>
          <w:rFonts w:ascii="PT Astra Serif" w:hAnsi="PT Astra Serif" w:cs="Times New Roman"/>
          <w:sz w:val="20"/>
          <w:szCs w:val="20"/>
        </w:rPr>
        <w:t>07</w:t>
      </w:r>
    </w:p>
    <w:sectPr w:rsidR="00BB5189" w:rsidRPr="00BB5189" w:rsidSect="006D36D0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FF" w:rsidRDefault="007F78FF" w:rsidP="008F1637">
      <w:pPr>
        <w:spacing w:after="0" w:line="240" w:lineRule="auto"/>
      </w:pPr>
      <w:r>
        <w:separator/>
      </w:r>
    </w:p>
  </w:endnote>
  <w:endnote w:type="continuationSeparator" w:id="0">
    <w:p w:rsidR="007F78FF" w:rsidRDefault="007F78FF" w:rsidP="008F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FF" w:rsidRDefault="007F78FF" w:rsidP="008F1637">
      <w:pPr>
        <w:spacing w:after="0" w:line="240" w:lineRule="auto"/>
      </w:pPr>
      <w:r>
        <w:separator/>
      </w:r>
    </w:p>
  </w:footnote>
  <w:footnote w:type="continuationSeparator" w:id="0">
    <w:p w:rsidR="007F78FF" w:rsidRDefault="007F78FF" w:rsidP="008F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608117"/>
    </w:sdtPr>
    <w:sdtEndPr/>
    <w:sdtContent>
      <w:p w:rsidR="007F78FF" w:rsidRDefault="00711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8FF" w:rsidRDefault="007F78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5A5"/>
    <w:multiLevelType w:val="hybridMultilevel"/>
    <w:tmpl w:val="0562F9A4"/>
    <w:lvl w:ilvl="0" w:tplc="A85A0A0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E82"/>
    <w:multiLevelType w:val="multilevel"/>
    <w:tmpl w:val="B2C855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isLgl/>
      <w:lvlText w:val="%1.%2.%3.%4."/>
      <w:lvlJc w:val="left"/>
      <w:pPr>
        <w:ind w:left="1939" w:hanging="1230"/>
      </w:pPr>
    </w:lvl>
    <w:lvl w:ilvl="4">
      <w:start w:val="1"/>
      <w:numFmt w:val="decimal"/>
      <w:isLgl/>
      <w:lvlText w:val="%1.%2.%3.%4.%5."/>
      <w:lvlJc w:val="left"/>
      <w:pPr>
        <w:ind w:left="1939" w:hanging="123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D5D2CA0"/>
    <w:multiLevelType w:val="hybridMultilevel"/>
    <w:tmpl w:val="26C24594"/>
    <w:lvl w:ilvl="0" w:tplc="8988A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755B01"/>
    <w:multiLevelType w:val="hybridMultilevel"/>
    <w:tmpl w:val="358CB6C6"/>
    <w:lvl w:ilvl="0" w:tplc="E82A2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A177C"/>
    <w:multiLevelType w:val="hybridMultilevel"/>
    <w:tmpl w:val="B97C5AE4"/>
    <w:lvl w:ilvl="0" w:tplc="40149E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0C1D"/>
    <w:multiLevelType w:val="hybridMultilevel"/>
    <w:tmpl w:val="F01876D6"/>
    <w:lvl w:ilvl="0" w:tplc="778A6596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615FE"/>
    <w:multiLevelType w:val="hybridMultilevel"/>
    <w:tmpl w:val="14D476D6"/>
    <w:lvl w:ilvl="0" w:tplc="E82C653C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9630C"/>
    <w:multiLevelType w:val="hybridMultilevel"/>
    <w:tmpl w:val="E3B65834"/>
    <w:lvl w:ilvl="0" w:tplc="A2A4FD94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36008C"/>
    <w:multiLevelType w:val="hybridMultilevel"/>
    <w:tmpl w:val="F01876D6"/>
    <w:lvl w:ilvl="0" w:tplc="778A6596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E7DBC"/>
    <w:multiLevelType w:val="hybridMultilevel"/>
    <w:tmpl w:val="FCB097BA"/>
    <w:lvl w:ilvl="0" w:tplc="D2BC05E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34CC"/>
    <w:multiLevelType w:val="hybridMultilevel"/>
    <w:tmpl w:val="358CB6C6"/>
    <w:lvl w:ilvl="0" w:tplc="E82A2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344C7"/>
    <w:multiLevelType w:val="hybridMultilevel"/>
    <w:tmpl w:val="C8D074F8"/>
    <w:lvl w:ilvl="0" w:tplc="827E9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8F6DCC"/>
    <w:multiLevelType w:val="hybridMultilevel"/>
    <w:tmpl w:val="7F7EA7BA"/>
    <w:lvl w:ilvl="0" w:tplc="E97A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D16C18"/>
    <w:multiLevelType w:val="hybridMultilevel"/>
    <w:tmpl w:val="56F0BF1A"/>
    <w:lvl w:ilvl="0" w:tplc="047A091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6557FA"/>
    <w:multiLevelType w:val="hybridMultilevel"/>
    <w:tmpl w:val="FE28CC3C"/>
    <w:lvl w:ilvl="0" w:tplc="E97A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054A20"/>
    <w:multiLevelType w:val="hybridMultilevel"/>
    <w:tmpl w:val="A808EC44"/>
    <w:lvl w:ilvl="0" w:tplc="3EA4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407C35"/>
    <w:multiLevelType w:val="hybridMultilevel"/>
    <w:tmpl w:val="BD224556"/>
    <w:lvl w:ilvl="0" w:tplc="4274C20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color w:val="3695C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1C37"/>
    <w:multiLevelType w:val="hybridMultilevel"/>
    <w:tmpl w:val="0972DC5E"/>
    <w:lvl w:ilvl="0" w:tplc="9CEA427E">
      <w:start w:val="1"/>
      <w:numFmt w:val="bullet"/>
      <w:lvlText w:val=""/>
      <w:lvlJc w:val="left"/>
      <w:pPr>
        <w:ind w:left="1210" w:hanging="360"/>
      </w:pPr>
      <w:rPr>
        <w:rFonts w:ascii="Wingdings" w:hAnsi="Wingdings" w:hint="default"/>
        <w:color w:val="3695C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74C45389"/>
    <w:multiLevelType w:val="hybridMultilevel"/>
    <w:tmpl w:val="886C38EA"/>
    <w:lvl w:ilvl="0" w:tplc="E77AC1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7427E"/>
    <w:multiLevelType w:val="hybridMultilevel"/>
    <w:tmpl w:val="057A8162"/>
    <w:lvl w:ilvl="0" w:tplc="EFF401AE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A1BD9"/>
    <w:multiLevelType w:val="hybridMultilevel"/>
    <w:tmpl w:val="B54C91DC"/>
    <w:lvl w:ilvl="0" w:tplc="31D04A3E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  <w:color w:val="3695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19"/>
  </w:num>
  <w:num w:numId="13">
    <w:abstractNumId w:val="18"/>
  </w:num>
  <w:num w:numId="14">
    <w:abstractNumId w:val="4"/>
  </w:num>
  <w:num w:numId="15">
    <w:abstractNumId w:val="15"/>
  </w:num>
  <w:num w:numId="16">
    <w:abstractNumId w:val="17"/>
  </w:num>
  <w:num w:numId="17">
    <w:abstractNumId w:val="3"/>
  </w:num>
  <w:num w:numId="18">
    <w:abstractNumId w:val="16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18"/>
    <w:rsid w:val="00000692"/>
    <w:rsid w:val="00001965"/>
    <w:rsid w:val="000146F3"/>
    <w:rsid w:val="00017E65"/>
    <w:rsid w:val="00017F38"/>
    <w:rsid w:val="0003628A"/>
    <w:rsid w:val="00044A91"/>
    <w:rsid w:val="000460E7"/>
    <w:rsid w:val="00047FCF"/>
    <w:rsid w:val="000610C0"/>
    <w:rsid w:val="00064F36"/>
    <w:rsid w:val="00072697"/>
    <w:rsid w:val="00080062"/>
    <w:rsid w:val="0008555A"/>
    <w:rsid w:val="000941A6"/>
    <w:rsid w:val="000E68FE"/>
    <w:rsid w:val="000F0B5C"/>
    <w:rsid w:val="000F50D2"/>
    <w:rsid w:val="00100757"/>
    <w:rsid w:val="00112107"/>
    <w:rsid w:val="00114A6F"/>
    <w:rsid w:val="0012550B"/>
    <w:rsid w:val="00132E46"/>
    <w:rsid w:val="001368A1"/>
    <w:rsid w:val="00144971"/>
    <w:rsid w:val="00154641"/>
    <w:rsid w:val="00163866"/>
    <w:rsid w:val="00165508"/>
    <w:rsid w:val="001733FD"/>
    <w:rsid w:val="001B485C"/>
    <w:rsid w:val="001B4FEC"/>
    <w:rsid w:val="001B59CE"/>
    <w:rsid w:val="001C4AF8"/>
    <w:rsid w:val="001E28D6"/>
    <w:rsid w:val="001F0B29"/>
    <w:rsid w:val="001F14E0"/>
    <w:rsid w:val="001F308B"/>
    <w:rsid w:val="001F3F99"/>
    <w:rsid w:val="00205B03"/>
    <w:rsid w:val="00214A56"/>
    <w:rsid w:val="00246AC8"/>
    <w:rsid w:val="00250336"/>
    <w:rsid w:val="002539D0"/>
    <w:rsid w:val="002626C7"/>
    <w:rsid w:val="002644F5"/>
    <w:rsid w:val="00264C58"/>
    <w:rsid w:val="00265ABD"/>
    <w:rsid w:val="002717F6"/>
    <w:rsid w:val="0027267C"/>
    <w:rsid w:val="002818E6"/>
    <w:rsid w:val="00291A64"/>
    <w:rsid w:val="00294011"/>
    <w:rsid w:val="002A3439"/>
    <w:rsid w:val="002B22FE"/>
    <w:rsid w:val="002B2C12"/>
    <w:rsid w:val="002B2D54"/>
    <w:rsid w:val="002C6CE8"/>
    <w:rsid w:val="002D7A97"/>
    <w:rsid w:val="002E1BC4"/>
    <w:rsid w:val="002F049E"/>
    <w:rsid w:val="00303FF9"/>
    <w:rsid w:val="0030508A"/>
    <w:rsid w:val="00306744"/>
    <w:rsid w:val="00307127"/>
    <w:rsid w:val="00310A2A"/>
    <w:rsid w:val="003124F0"/>
    <w:rsid w:val="003126F6"/>
    <w:rsid w:val="0033286D"/>
    <w:rsid w:val="00346DB4"/>
    <w:rsid w:val="00352730"/>
    <w:rsid w:val="00357609"/>
    <w:rsid w:val="00361978"/>
    <w:rsid w:val="003636DF"/>
    <w:rsid w:val="00377DAF"/>
    <w:rsid w:val="0038618C"/>
    <w:rsid w:val="00387E0F"/>
    <w:rsid w:val="00390BB5"/>
    <w:rsid w:val="00391E59"/>
    <w:rsid w:val="00393095"/>
    <w:rsid w:val="003C3B8E"/>
    <w:rsid w:val="003D0FB0"/>
    <w:rsid w:val="003E2CA9"/>
    <w:rsid w:val="003F437E"/>
    <w:rsid w:val="003F74AF"/>
    <w:rsid w:val="00406BF4"/>
    <w:rsid w:val="00444280"/>
    <w:rsid w:val="00451AFD"/>
    <w:rsid w:val="00451C5C"/>
    <w:rsid w:val="0046469B"/>
    <w:rsid w:val="00467CED"/>
    <w:rsid w:val="00482DD3"/>
    <w:rsid w:val="004839F5"/>
    <w:rsid w:val="004A277A"/>
    <w:rsid w:val="004A6E18"/>
    <w:rsid w:val="004B46AA"/>
    <w:rsid w:val="004C5C55"/>
    <w:rsid w:val="004D63DE"/>
    <w:rsid w:val="004E3BCA"/>
    <w:rsid w:val="004F6404"/>
    <w:rsid w:val="00500DBB"/>
    <w:rsid w:val="00525AF8"/>
    <w:rsid w:val="00531BB2"/>
    <w:rsid w:val="00545CCD"/>
    <w:rsid w:val="005477A3"/>
    <w:rsid w:val="00561224"/>
    <w:rsid w:val="005676AF"/>
    <w:rsid w:val="00592619"/>
    <w:rsid w:val="00593A7A"/>
    <w:rsid w:val="00597780"/>
    <w:rsid w:val="005A0822"/>
    <w:rsid w:val="005A736D"/>
    <w:rsid w:val="005A7629"/>
    <w:rsid w:val="005C7409"/>
    <w:rsid w:val="005D3A45"/>
    <w:rsid w:val="005F3816"/>
    <w:rsid w:val="005F75F9"/>
    <w:rsid w:val="00600445"/>
    <w:rsid w:val="0060379D"/>
    <w:rsid w:val="00604B41"/>
    <w:rsid w:val="006050D7"/>
    <w:rsid w:val="006112B8"/>
    <w:rsid w:val="00617FEB"/>
    <w:rsid w:val="00634F3A"/>
    <w:rsid w:val="00636D2C"/>
    <w:rsid w:val="00641CF4"/>
    <w:rsid w:val="00644373"/>
    <w:rsid w:val="00653194"/>
    <w:rsid w:val="006535D6"/>
    <w:rsid w:val="00662262"/>
    <w:rsid w:val="006657F3"/>
    <w:rsid w:val="006665A8"/>
    <w:rsid w:val="00670074"/>
    <w:rsid w:val="0068624E"/>
    <w:rsid w:val="006910E0"/>
    <w:rsid w:val="00692217"/>
    <w:rsid w:val="006939CD"/>
    <w:rsid w:val="00693D15"/>
    <w:rsid w:val="00697639"/>
    <w:rsid w:val="006A3B1E"/>
    <w:rsid w:val="006B30DC"/>
    <w:rsid w:val="006B3437"/>
    <w:rsid w:val="006C3EBC"/>
    <w:rsid w:val="006D2CFA"/>
    <w:rsid w:val="006D36D0"/>
    <w:rsid w:val="006D7021"/>
    <w:rsid w:val="006D7810"/>
    <w:rsid w:val="006E51D4"/>
    <w:rsid w:val="006F5456"/>
    <w:rsid w:val="0071170F"/>
    <w:rsid w:val="00712B6E"/>
    <w:rsid w:val="0072002E"/>
    <w:rsid w:val="00725D6A"/>
    <w:rsid w:val="007324DA"/>
    <w:rsid w:val="00733EC3"/>
    <w:rsid w:val="00735763"/>
    <w:rsid w:val="00741F36"/>
    <w:rsid w:val="007432EE"/>
    <w:rsid w:val="00751936"/>
    <w:rsid w:val="00751AB7"/>
    <w:rsid w:val="0077000E"/>
    <w:rsid w:val="00795C38"/>
    <w:rsid w:val="007B0A41"/>
    <w:rsid w:val="007B7FEF"/>
    <w:rsid w:val="007D4469"/>
    <w:rsid w:val="007D45A4"/>
    <w:rsid w:val="007E0C40"/>
    <w:rsid w:val="007F78FF"/>
    <w:rsid w:val="008013E0"/>
    <w:rsid w:val="00801EDC"/>
    <w:rsid w:val="00806A44"/>
    <w:rsid w:val="0081593A"/>
    <w:rsid w:val="008167FA"/>
    <w:rsid w:val="00830817"/>
    <w:rsid w:val="008311F1"/>
    <w:rsid w:val="00834F3B"/>
    <w:rsid w:val="00837D4E"/>
    <w:rsid w:val="00843267"/>
    <w:rsid w:val="00851832"/>
    <w:rsid w:val="00860C6B"/>
    <w:rsid w:val="00862CF9"/>
    <w:rsid w:val="00867B5C"/>
    <w:rsid w:val="0087006B"/>
    <w:rsid w:val="008711A6"/>
    <w:rsid w:val="008A5787"/>
    <w:rsid w:val="008B4D91"/>
    <w:rsid w:val="008B70C7"/>
    <w:rsid w:val="008C1020"/>
    <w:rsid w:val="008F1637"/>
    <w:rsid w:val="008F30B8"/>
    <w:rsid w:val="008F4DB3"/>
    <w:rsid w:val="00915FD6"/>
    <w:rsid w:val="00930BDD"/>
    <w:rsid w:val="00942DAC"/>
    <w:rsid w:val="00943CAB"/>
    <w:rsid w:val="00961884"/>
    <w:rsid w:val="00970ECB"/>
    <w:rsid w:val="00970F39"/>
    <w:rsid w:val="009804E5"/>
    <w:rsid w:val="00980F84"/>
    <w:rsid w:val="00984A24"/>
    <w:rsid w:val="009B3455"/>
    <w:rsid w:val="009C059C"/>
    <w:rsid w:val="009C5CC1"/>
    <w:rsid w:val="009D6D45"/>
    <w:rsid w:val="009E5CF8"/>
    <w:rsid w:val="009E70F3"/>
    <w:rsid w:val="00A243A8"/>
    <w:rsid w:val="00A46E4F"/>
    <w:rsid w:val="00A46F20"/>
    <w:rsid w:val="00A53A90"/>
    <w:rsid w:val="00A66B33"/>
    <w:rsid w:val="00A920B5"/>
    <w:rsid w:val="00A9240E"/>
    <w:rsid w:val="00A960A0"/>
    <w:rsid w:val="00AB4534"/>
    <w:rsid w:val="00AB4595"/>
    <w:rsid w:val="00AD3345"/>
    <w:rsid w:val="00AE4189"/>
    <w:rsid w:val="00AE5089"/>
    <w:rsid w:val="00AF00CC"/>
    <w:rsid w:val="00AF76CC"/>
    <w:rsid w:val="00B00C90"/>
    <w:rsid w:val="00B0207F"/>
    <w:rsid w:val="00B0290B"/>
    <w:rsid w:val="00B250D4"/>
    <w:rsid w:val="00B254BC"/>
    <w:rsid w:val="00B25516"/>
    <w:rsid w:val="00B40122"/>
    <w:rsid w:val="00B51EF4"/>
    <w:rsid w:val="00B5453E"/>
    <w:rsid w:val="00B642AF"/>
    <w:rsid w:val="00B65A0D"/>
    <w:rsid w:val="00B712AB"/>
    <w:rsid w:val="00B84BED"/>
    <w:rsid w:val="00B930BA"/>
    <w:rsid w:val="00BA5722"/>
    <w:rsid w:val="00BA7351"/>
    <w:rsid w:val="00BB5189"/>
    <w:rsid w:val="00BB749D"/>
    <w:rsid w:val="00BD3F5C"/>
    <w:rsid w:val="00BE1B02"/>
    <w:rsid w:val="00BF0A38"/>
    <w:rsid w:val="00BF0A8B"/>
    <w:rsid w:val="00BF3136"/>
    <w:rsid w:val="00C21D8E"/>
    <w:rsid w:val="00C323CD"/>
    <w:rsid w:val="00C42DDD"/>
    <w:rsid w:val="00C52F2F"/>
    <w:rsid w:val="00C531F5"/>
    <w:rsid w:val="00C65F67"/>
    <w:rsid w:val="00C81DFD"/>
    <w:rsid w:val="00C84CB9"/>
    <w:rsid w:val="00C84DD5"/>
    <w:rsid w:val="00C926D5"/>
    <w:rsid w:val="00C9590C"/>
    <w:rsid w:val="00CA4211"/>
    <w:rsid w:val="00CB4B6C"/>
    <w:rsid w:val="00CB682D"/>
    <w:rsid w:val="00CC75BE"/>
    <w:rsid w:val="00CD66BB"/>
    <w:rsid w:val="00CD7314"/>
    <w:rsid w:val="00CE42AE"/>
    <w:rsid w:val="00CE6549"/>
    <w:rsid w:val="00D01605"/>
    <w:rsid w:val="00D041FA"/>
    <w:rsid w:val="00D26EF5"/>
    <w:rsid w:val="00D348ED"/>
    <w:rsid w:val="00D46270"/>
    <w:rsid w:val="00D62D8D"/>
    <w:rsid w:val="00D6782C"/>
    <w:rsid w:val="00D751D9"/>
    <w:rsid w:val="00D7579B"/>
    <w:rsid w:val="00D922A8"/>
    <w:rsid w:val="00DA4195"/>
    <w:rsid w:val="00DC14F5"/>
    <w:rsid w:val="00DC3907"/>
    <w:rsid w:val="00DC5CCE"/>
    <w:rsid w:val="00DE3ED1"/>
    <w:rsid w:val="00E0199E"/>
    <w:rsid w:val="00E20AC4"/>
    <w:rsid w:val="00E22381"/>
    <w:rsid w:val="00E368E8"/>
    <w:rsid w:val="00E41A99"/>
    <w:rsid w:val="00E50F4A"/>
    <w:rsid w:val="00E85572"/>
    <w:rsid w:val="00E930ED"/>
    <w:rsid w:val="00E93D67"/>
    <w:rsid w:val="00E94410"/>
    <w:rsid w:val="00E97AD4"/>
    <w:rsid w:val="00EA103A"/>
    <w:rsid w:val="00EB1A5E"/>
    <w:rsid w:val="00EC3849"/>
    <w:rsid w:val="00ED0AFD"/>
    <w:rsid w:val="00ED4BFB"/>
    <w:rsid w:val="00EE0253"/>
    <w:rsid w:val="00EF14EE"/>
    <w:rsid w:val="00EF3CAB"/>
    <w:rsid w:val="00F01446"/>
    <w:rsid w:val="00F13FC7"/>
    <w:rsid w:val="00F22804"/>
    <w:rsid w:val="00F22E41"/>
    <w:rsid w:val="00F34EA5"/>
    <w:rsid w:val="00F36635"/>
    <w:rsid w:val="00F40F41"/>
    <w:rsid w:val="00F57288"/>
    <w:rsid w:val="00F617A1"/>
    <w:rsid w:val="00F71341"/>
    <w:rsid w:val="00F8199D"/>
    <w:rsid w:val="00F82007"/>
    <w:rsid w:val="00FA08B4"/>
    <w:rsid w:val="00FB2567"/>
    <w:rsid w:val="00FC072C"/>
    <w:rsid w:val="00FC1CCB"/>
    <w:rsid w:val="00FC7E6C"/>
    <w:rsid w:val="00FC7F08"/>
    <w:rsid w:val="00FD64DD"/>
    <w:rsid w:val="00FE2FFC"/>
    <w:rsid w:val="00FF4536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E18"/>
  </w:style>
  <w:style w:type="paragraph" w:styleId="a9">
    <w:name w:val="footer"/>
    <w:basedOn w:val="a"/>
    <w:link w:val="aa"/>
    <w:uiPriority w:val="99"/>
    <w:unhideWhenUsed/>
    <w:rsid w:val="004A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E18"/>
  </w:style>
  <w:style w:type="table" w:styleId="1-6">
    <w:name w:val="Medium Shading 1 Accent 6"/>
    <w:basedOn w:val="a1"/>
    <w:uiPriority w:val="63"/>
    <w:rsid w:val="004A6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4A6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text">
    <w:name w:val="text"/>
    <w:basedOn w:val="a0"/>
    <w:rsid w:val="0087006B"/>
  </w:style>
  <w:style w:type="paragraph" w:customStyle="1" w:styleId="s1">
    <w:name w:val="s_1"/>
    <w:basedOn w:val="a"/>
    <w:rsid w:val="0083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5456"/>
    <w:rPr>
      <w:color w:val="0000FF"/>
      <w:u w:val="single"/>
    </w:rPr>
  </w:style>
  <w:style w:type="table" w:customStyle="1" w:styleId="-461">
    <w:name w:val="Таблица-сетка 4 — акцент 61"/>
    <w:basedOn w:val="a1"/>
    <w:uiPriority w:val="49"/>
    <w:rsid w:val="006D7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c">
    <w:name w:val="Body Text"/>
    <w:basedOn w:val="a"/>
    <w:link w:val="ad"/>
    <w:uiPriority w:val="99"/>
    <w:semiHidden/>
    <w:unhideWhenUsed/>
    <w:rsid w:val="003F43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F437E"/>
  </w:style>
  <w:style w:type="paragraph" w:styleId="ae">
    <w:name w:val="Body Text First Indent"/>
    <w:basedOn w:val="ac"/>
    <w:link w:val="af"/>
    <w:rsid w:val="003F437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расная строка Знак"/>
    <w:basedOn w:val="ad"/>
    <w:link w:val="ae"/>
    <w:rsid w:val="003F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E18"/>
  </w:style>
  <w:style w:type="paragraph" w:styleId="a9">
    <w:name w:val="footer"/>
    <w:basedOn w:val="a"/>
    <w:link w:val="aa"/>
    <w:uiPriority w:val="99"/>
    <w:unhideWhenUsed/>
    <w:rsid w:val="004A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E18"/>
  </w:style>
  <w:style w:type="table" w:styleId="1-6">
    <w:name w:val="Medium Shading 1 Accent 6"/>
    <w:basedOn w:val="a1"/>
    <w:uiPriority w:val="63"/>
    <w:rsid w:val="004A6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4A6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text">
    <w:name w:val="text"/>
    <w:basedOn w:val="a0"/>
    <w:rsid w:val="0087006B"/>
  </w:style>
  <w:style w:type="paragraph" w:customStyle="1" w:styleId="s1">
    <w:name w:val="s_1"/>
    <w:basedOn w:val="a"/>
    <w:rsid w:val="0083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5456"/>
    <w:rPr>
      <w:color w:val="0000FF"/>
      <w:u w:val="single"/>
    </w:rPr>
  </w:style>
  <w:style w:type="table" w:customStyle="1" w:styleId="-461">
    <w:name w:val="Таблица-сетка 4 — акцент 61"/>
    <w:basedOn w:val="a1"/>
    <w:uiPriority w:val="49"/>
    <w:rsid w:val="006D7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c">
    <w:name w:val="Body Text"/>
    <w:basedOn w:val="a"/>
    <w:link w:val="ad"/>
    <w:uiPriority w:val="99"/>
    <w:semiHidden/>
    <w:unhideWhenUsed/>
    <w:rsid w:val="003F43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F437E"/>
  </w:style>
  <w:style w:type="paragraph" w:styleId="ae">
    <w:name w:val="Body Text First Indent"/>
    <w:basedOn w:val="ac"/>
    <w:link w:val="af"/>
    <w:rsid w:val="003F437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расная строка Знак"/>
    <w:basedOn w:val="ad"/>
    <w:link w:val="ae"/>
    <w:rsid w:val="003F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6712-E44E-48E7-96D5-450A0E84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potapova</cp:lastModifiedBy>
  <cp:revision>8</cp:revision>
  <cp:lastPrinted>2022-04-19T12:41:00Z</cp:lastPrinted>
  <dcterms:created xsi:type="dcterms:W3CDTF">2022-04-19T09:59:00Z</dcterms:created>
  <dcterms:modified xsi:type="dcterms:W3CDTF">2022-04-19T12:41:00Z</dcterms:modified>
</cp:coreProperties>
</file>